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9E" w:rsidRDefault="00B4389E">
      <w:pPr>
        <w:snapToGrid w:val="0"/>
        <w:spacing w:line="800" w:lineRule="exact"/>
        <w:jc w:val="distribute"/>
        <w:rPr>
          <w:rFonts w:eastAsia="方正小标宋简体"/>
          <w:color w:val="FF0000"/>
          <w:w w:val="80"/>
          <w:sz w:val="72"/>
          <w:szCs w:val="72"/>
        </w:rPr>
      </w:pPr>
      <w:r w:rsidRPr="00B4389E">
        <w:rPr>
          <w:sz w:val="72"/>
        </w:rPr>
        <w:pict>
          <v:shapetype id="_x0000_t202" coordsize="21600,21600" o:spt="202" path="m,l,21600r21600,l21600,xe">
            <v:stroke joinstyle="miter"/>
            <v:path gradientshapeok="t" o:connecttype="rect"/>
          </v:shapetype>
          <v:shape id="_x0000_s1026" type="#_x0000_t202" style="position:absolute;left:0;text-align:left;margin-left:-13.45pt;margin-top:-19.6pt;width:352.35pt;height:7in;z-index:251659264" o:gfxdata="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sBjGtcAAAALAQAADwAAAAAAAAABACAAAAAiAAAAZHJzL2Rvd25yZXYu&#10;eG1sUEsBAhQAFAAAAAgAh07iQP9iFus1AgAAQgQAAA4AAAAAAAAAAQAgAAAAJgEAAGRycy9lMm9E&#10;b2MueG1sUEsFBgAAAAAGAAYAWQEAAM0FAAAAAA==&#10;" fillcolor="white [3201]" stroked="f" strokeweight=".5pt">
            <v:textbox>
              <w:txbxContent>
                <w:p w:rsidR="00B4389E" w:rsidRDefault="00CD4F8D">
                  <w:pPr>
                    <w:widowControl/>
                    <w:snapToGrid w:val="0"/>
                    <w:spacing w:line="900" w:lineRule="exact"/>
                    <w:jc w:val="distribute"/>
                    <w:rPr>
                      <w:rFonts w:eastAsia="方正小标宋简体"/>
                      <w:color w:val="FF0000"/>
                      <w:w w:val="66"/>
                      <w:sz w:val="80"/>
                      <w:szCs w:val="72"/>
                    </w:rPr>
                  </w:pPr>
                  <w:r>
                    <w:rPr>
                      <w:rFonts w:eastAsia="方正小标宋简体" w:hint="eastAsia"/>
                      <w:color w:val="FF0000"/>
                      <w:w w:val="66"/>
                      <w:sz w:val="80"/>
                      <w:szCs w:val="72"/>
                    </w:rPr>
                    <w:t>湖南省教育厅</w:t>
                  </w:r>
                </w:p>
                <w:p w:rsidR="00B4389E" w:rsidRDefault="00CD4F8D">
                  <w:pPr>
                    <w:widowControl/>
                    <w:snapToGrid w:val="0"/>
                    <w:spacing w:line="900" w:lineRule="exact"/>
                    <w:jc w:val="distribute"/>
                    <w:rPr>
                      <w:rFonts w:eastAsia="方正小标宋简体"/>
                      <w:color w:val="FF0000"/>
                      <w:w w:val="66"/>
                      <w:sz w:val="80"/>
                      <w:szCs w:val="72"/>
                    </w:rPr>
                  </w:pPr>
                  <w:r>
                    <w:rPr>
                      <w:rFonts w:eastAsia="方正小标宋简体" w:hint="eastAsia"/>
                      <w:color w:val="FF0000"/>
                      <w:w w:val="66"/>
                      <w:sz w:val="80"/>
                      <w:szCs w:val="72"/>
                    </w:rPr>
                    <w:t>湖南省发展和改革委员会</w:t>
                  </w:r>
                </w:p>
                <w:p w:rsidR="00B4389E" w:rsidRDefault="00CD4F8D">
                  <w:pPr>
                    <w:widowControl/>
                    <w:snapToGrid w:val="0"/>
                    <w:spacing w:line="900" w:lineRule="exact"/>
                    <w:jc w:val="distribute"/>
                    <w:rPr>
                      <w:rFonts w:eastAsia="方正小标宋简体"/>
                      <w:color w:val="FF0000"/>
                      <w:w w:val="66"/>
                      <w:sz w:val="80"/>
                      <w:szCs w:val="72"/>
                    </w:rPr>
                  </w:pPr>
                  <w:r>
                    <w:rPr>
                      <w:rFonts w:eastAsia="方正小标宋简体" w:hint="eastAsia"/>
                      <w:color w:val="FF0000"/>
                      <w:w w:val="66"/>
                      <w:sz w:val="80"/>
                      <w:szCs w:val="72"/>
                    </w:rPr>
                    <w:t>湖南省公安厅</w:t>
                  </w:r>
                </w:p>
                <w:p w:rsidR="00B4389E" w:rsidRDefault="00CD4F8D">
                  <w:pPr>
                    <w:widowControl/>
                    <w:snapToGrid w:val="0"/>
                    <w:spacing w:line="900" w:lineRule="exact"/>
                    <w:jc w:val="distribute"/>
                    <w:rPr>
                      <w:rFonts w:eastAsia="方正小标宋简体"/>
                      <w:color w:val="FF0000"/>
                      <w:w w:val="66"/>
                      <w:sz w:val="80"/>
                      <w:szCs w:val="72"/>
                    </w:rPr>
                  </w:pPr>
                  <w:r>
                    <w:rPr>
                      <w:rFonts w:eastAsia="方正小标宋简体" w:hint="eastAsia"/>
                      <w:color w:val="FF0000"/>
                      <w:w w:val="66"/>
                      <w:sz w:val="80"/>
                      <w:szCs w:val="72"/>
                    </w:rPr>
                    <w:t>湖南省财政厅</w:t>
                  </w:r>
                </w:p>
                <w:p w:rsidR="00B4389E" w:rsidRDefault="00CD4F8D">
                  <w:pPr>
                    <w:widowControl/>
                    <w:snapToGrid w:val="0"/>
                    <w:spacing w:line="900" w:lineRule="exact"/>
                    <w:jc w:val="distribute"/>
                    <w:rPr>
                      <w:rFonts w:eastAsia="方正小标宋简体"/>
                      <w:color w:val="FF0000"/>
                      <w:w w:val="66"/>
                      <w:sz w:val="80"/>
                      <w:szCs w:val="72"/>
                    </w:rPr>
                  </w:pPr>
                  <w:r>
                    <w:rPr>
                      <w:rFonts w:eastAsia="方正小标宋简体" w:hint="eastAsia"/>
                      <w:color w:val="FF0000"/>
                      <w:w w:val="66"/>
                      <w:sz w:val="80"/>
                      <w:szCs w:val="72"/>
                    </w:rPr>
                    <w:t>湖南省交通运输厅</w:t>
                  </w:r>
                </w:p>
                <w:p w:rsidR="00B4389E" w:rsidRDefault="00CD4F8D">
                  <w:pPr>
                    <w:widowControl/>
                    <w:snapToGrid w:val="0"/>
                    <w:spacing w:line="900" w:lineRule="exact"/>
                    <w:jc w:val="distribute"/>
                    <w:rPr>
                      <w:rFonts w:eastAsia="方正小标宋简体"/>
                      <w:color w:val="FF0000"/>
                      <w:w w:val="66"/>
                      <w:sz w:val="80"/>
                      <w:szCs w:val="72"/>
                    </w:rPr>
                  </w:pPr>
                  <w:r>
                    <w:rPr>
                      <w:rFonts w:eastAsia="方正小标宋简体" w:hint="eastAsia"/>
                      <w:color w:val="FF0000"/>
                      <w:w w:val="66"/>
                      <w:sz w:val="80"/>
                      <w:szCs w:val="72"/>
                    </w:rPr>
                    <w:t>湖南省文化厅</w:t>
                  </w:r>
                </w:p>
                <w:p w:rsidR="00B4389E" w:rsidRDefault="00CD4F8D">
                  <w:pPr>
                    <w:widowControl/>
                    <w:snapToGrid w:val="0"/>
                    <w:spacing w:line="900" w:lineRule="exact"/>
                    <w:jc w:val="distribute"/>
                    <w:rPr>
                      <w:rFonts w:eastAsia="方正小标宋简体"/>
                      <w:color w:val="FF0000"/>
                      <w:w w:val="66"/>
                      <w:sz w:val="80"/>
                      <w:szCs w:val="72"/>
                    </w:rPr>
                  </w:pPr>
                  <w:r>
                    <w:rPr>
                      <w:rFonts w:eastAsia="方正小标宋简体" w:hint="eastAsia"/>
                      <w:color w:val="FF0000"/>
                      <w:w w:val="66"/>
                      <w:sz w:val="80"/>
                      <w:szCs w:val="72"/>
                    </w:rPr>
                    <w:t>湖南省食品药品监督管理局</w:t>
                  </w:r>
                </w:p>
                <w:p w:rsidR="00B4389E" w:rsidRDefault="00CD4F8D">
                  <w:pPr>
                    <w:widowControl/>
                    <w:snapToGrid w:val="0"/>
                    <w:spacing w:line="900" w:lineRule="exact"/>
                    <w:jc w:val="distribute"/>
                    <w:rPr>
                      <w:rFonts w:eastAsia="方正小标宋简体"/>
                      <w:color w:val="FF0000"/>
                      <w:w w:val="66"/>
                      <w:sz w:val="80"/>
                      <w:szCs w:val="72"/>
                    </w:rPr>
                  </w:pPr>
                  <w:r>
                    <w:rPr>
                      <w:rFonts w:eastAsia="方正小标宋简体" w:hint="eastAsia"/>
                      <w:color w:val="FF0000"/>
                      <w:w w:val="66"/>
                      <w:sz w:val="80"/>
                      <w:szCs w:val="72"/>
                    </w:rPr>
                    <w:t>湖南省旅游发展委员会</w:t>
                  </w:r>
                </w:p>
                <w:p w:rsidR="00B4389E" w:rsidRDefault="00CD4F8D">
                  <w:pPr>
                    <w:widowControl/>
                    <w:snapToGrid w:val="0"/>
                    <w:spacing w:line="900" w:lineRule="exact"/>
                    <w:jc w:val="distribute"/>
                    <w:rPr>
                      <w:rFonts w:eastAsia="方正小标宋简体"/>
                      <w:color w:val="FF0000"/>
                      <w:w w:val="66"/>
                      <w:sz w:val="80"/>
                      <w:szCs w:val="72"/>
                    </w:rPr>
                  </w:pPr>
                  <w:r>
                    <w:rPr>
                      <w:rFonts w:eastAsia="方正小标宋简体" w:hint="eastAsia"/>
                      <w:color w:val="FF0000"/>
                      <w:w w:val="66"/>
                      <w:sz w:val="80"/>
                      <w:szCs w:val="72"/>
                    </w:rPr>
                    <w:t>中国保监会湖南监管局</w:t>
                  </w:r>
                </w:p>
                <w:p w:rsidR="00B4389E" w:rsidRDefault="00CD4F8D">
                  <w:pPr>
                    <w:widowControl/>
                    <w:snapToGrid w:val="0"/>
                    <w:spacing w:line="900" w:lineRule="exact"/>
                    <w:jc w:val="distribute"/>
                    <w:rPr>
                      <w:rFonts w:eastAsia="方正小标宋简体"/>
                      <w:color w:val="FF0000"/>
                      <w:w w:val="66"/>
                      <w:sz w:val="80"/>
                      <w:szCs w:val="72"/>
                    </w:rPr>
                  </w:pPr>
                  <w:r>
                    <w:rPr>
                      <w:rFonts w:eastAsia="方正小标宋简体" w:hint="eastAsia"/>
                      <w:color w:val="FF0000"/>
                      <w:w w:val="66"/>
                      <w:sz w:val="80"/>
                      <w:szCs w:val="72"/>
                    </w:rPr>
                    <w:t>共青团湖南省委员会</w:t>
                  </w:r>
                </w:p>
                <w:p w:rsidR="00B4389E" w:rsidRDefault="00CD4F8D">
                  <w:pPr>
                    <w:spacing w:line="900" w:lineRule="exact"/>
                    <w:jc w:val="distribute"/>
                    <w:rPr>
                      <w:w w:val="66"/>
                      <w:sz w:val="50"/>
                    </w:rPr>
                  </w:pPr>
                  <w:r>
                    <w:rPr>
                      <w:rFonts w:eastAsia="方正小标宋简体" w:hint="eastAsia"/>
                      <w:color w:val="FF0000"/>
                      <w:w w:val="66"/>
                      <w:sz w:val="80"/>
                      <w:szCs w:val="72"/>
                    </w:rPr>
                    <w:t>中国铁路广州局集团有限公司</w:t>
                  </w:r>
                </w:p>
              </w:txbxContent>
            </v:textbox>
          </v:shape>
        </w:pict>
      </w:r>
    </w:p>
    <w:p w:rsidR="00B4389E" w:rsidRDefault="00B4389E">
      <w:pPr>
        <w:snapToGrid w:val="0"/>
        <w:spacing w:line="800" w:lineRule="exact"/>
        <w:jc w:val="distribute"/>
        <w:rPr>
          <w:rFonts w:eastAsia="方正小标宋简体"/>
          <w:color w:val="FF0000"/>
          <w:w w:val="80"/>
          <w:sz w:val="72"/>
          <w:szCs w:val="72"/>
        </w:rPr>
      </w:pPr>
    </w:p>
    <w:p w:rsidR="00B4389E" w:rsidRDefault="00B4389E">
      <w:pPr>
        <w:snapToGrid w:val="0"/>
        <w:spacing w:line="800" w:lineRule="exact"/>
        <w:jc w:val="distribute"/>
        <w:rPr>
          <w:rFonts w:eastAsia="方正小标宋简体"/>
          <w:color w:val="FF0000"/>
          <w:w w:val="80"/>
          <w:sz w:val="72"/>
          <w:szCs w:val="72"/>
        </w:rPr>
      </w:pPr>
    </w:p>
    <w:p w:rsidR="00B4389E" w:rsidRDefault="00B4389E">
      <w:pPr>
        <w:snapToGrid w:val="0"/>
        <w:spacing w:line="800" w:lineRule="exact"/>
        <w:jc w:val="distribute"/>
        <w:rPr>
          <w:rFonts w:eastAsia="方正小标宋简体"/>
          <w:color w:val="FF0000"/>
          <w:w w:val="80"/>
          <w:sz w:val="72"/>
          <w:szCs w:val="72"/>
        </w:rPr>
      </w:pPr>
    </w:p>
    <w:p w:rsidR="00B4389E" w:rsidRDefault="00B4389E">
      <w:pPr>
        <w:snapToGrid w:val="0"/>
        <w:spacing w:line="800" w:lineRule="exact"/>
        <w:jc w:val="distribute"/>
        <w:rPr>
          <w:rFonts w:eastAsia="方正小标宋简体"/>
          <w:color w:val="FF0000"/>
          <w:w w:val="80"/>
          <w:sz w:val="72"/>
          <w:szCs w:val="72"/>
        </w:rPr>
      </w:pPr>
      <w:r>
        <w:rPr>
          <w:rFonts w:eastAsia="方正小标宋简体"/>
          <w:color w:val="FF0000"/>
          <w:sz w:val="72"/>
          <w:szCs w:val="72"/>
        </w:rPr>
        <w:pict>
          <v:rect id="_x0000_s1028" style="position:absolute;left:0;text-align:left;margin-left:332.25pt;margin-top:20pt;width:93.1pt;height:122.2pt;z-index:251684864;v-text-anchor:middle" o:gfxdata="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KHEmrXAAAACgEAAA8AAAAAAAAA&#10;AQAgAAAAIgAAAGRycy9kb3ducmV2LnhtbFBLAQIUABQAAAAIAIdO4kCuijBbSwIAAHQEAAAOAAAA&#10;AAAAAAEAIAAAACYBAABkcnMvZTJvRG9jLnhtbFBLBQYAAAAABgAGAFkBAADjBQAAAAA=&#10;" filled="f" strokecolor="white [3212]" strokeweight="2pt">
            <v:stroke joinstyle="round"/>
            <v:textbox>
              <w:txbxContent>
                <w:p w:rsidR="00B4389E" w:rsidRDefault="00CD4F8D">
                  <w:pPr>
                    <w:jc w:val="center"/>
                    <w:rPr>
                      <w:rFonts w:eastAsia="方正小标宋简体"/>
                      <w:color w:val="FF0000"/>
                      <w:w w:val="66"/>
                      <w:sz w:val="120"/>
                      <w:szCs w:val="72"/>
                    </w:rPr>
                  </w:pPr>
                  <w:r>
                    <w:rPr>
                      <w:rFonts w:eastAsia="方正小标宋简体" w:hint="eastAsia"/>
                      <w:color w:val="FF0000"/>
                      <w:w w:val="66"/>
                      <w:sz w:val="120"/>
                      <w:szCs w:val="72"/>
                    </w:rPr>
                    <w:t>文件</w:t>
                  </w:r>
                </w:p>
              </w:txbxContent>
            </v:textbox>
          </v:rect>
        </w:pict>
      </w:r>
    </w:p>
    <w:p w:rsidR="00B4389E" w:rsidRDefault="00B4389E">
      <w:pPr>
        <w:snapToGrid w:val="0"/>
        <w:spacing w:line="800" w:lineRule="exact"/>
        <w:jc w:val="distribute"/>
        <w:rPr>
          <w:rFonts w:eastAsia="方正小标宋简体"/>
          <w:color w:val="FF0000"/>
          <w:w w:val="80"/>
          <w:sz w:val="72"/>
          <w:szCs w:val="72"/>
        </w:rPr>
      </w:pPr>
    </w:p>
    <w:p w:rsidR="00B4389E" w:rsidRDefault="00B4389E">
      <w:pPr>
        <w:snapToGrid w:val="0"/>
        <w:spacing w:line="800" w:lineRule="exact"/>
        <w:jc w:val="distribute"/>
        <w:rPr>
          <w:rFonts w:eastAsia="方正小标宋简体"/>
          <w:color w:val="FF0000"/>
          <w:w w:val="80"/>
          <w:sz w:val="72"/>
          <w:szCs w:val="72"/>
        </w:rPr>
      </w:pPr>
    </w:p>
    <w:p w:rsidR="00B4389E" w:rsidRDefault="00B4389E">
      <w:pPr>
        <w:snapToGrid w:val="0"/>
        <w:spacing w:line="800" w:lineRule="exact"/>
        <w:jc w:val="distribute"/>
        <w:rPr>
          <w:rFonts w:eastAsia="方正小标宋简体"/>
          <w:color w:val="FF0000"/>
          <w:w w:val="80"/>
          <w:sz w:val="72"/>
          <w:szCs w:val="72"/>
        </w:rPr>
      </w:pPr>
    </w:p>
    <w:p w:rsidR="00B4389E" w:rsidRDefault="00B4389E">
      <w:pPr>
        <w:snapToGrid w:val="0"/>
        <w:spacing w:line="800" w:lineRule="exact"/>
        <w:jc w:val="distribute"/>
        <w:rPr>
          <w:rFonts w:eastAsia="方正小标宋简体"/>
          <w:color w:val="FF0000"/>
          <w:w w:val="80"/>
          <w:sz w:val="72"/>
          <w:szCs w:val="72"/>
        </w:rPr>
      </w:pPr>
    </w:p>
    <w:p w:rsidR="00B4389E" w:rsidRDefault="00B4389E">
      <w:pPr>
        <w:snapToGrid w:val="0"/>
        <w:jc w:val="center"/>
      </w:pPr>
    </w:p>
    <w:p w:rsidR="00B4389E" w:rsidRDefault="00B4389E">
      <w:pPr>
        <w:snapToGrid w:val="0"/>
        <w:jc w:val="center"/>
      </w:pPr>
    </w:p>
    <w:p w:rsidR="00B4389E" w:rsidRDefault="00B4389E">
      <w:pPr>
        <w:snapToGrid w:val="0"/>
        <w:jc w:val="center"/>
      </w:pPr>
    </w:p>
    <w:p w:rsidR="00B4389E" w:rsidRDefault="00B4389E">
      <w:pPr>
        <w:snapToGrid w:val="0"/>
        <w:jc w:val="center"/>
      </w:pPr>
    </w:p>
    <w:p w:rsidR="00B4389E" w:rsidRDefault="00B4389E">
      <w:pPr>
        <w:snapToGrid w:val="0"/>
        <w:jc w:val="right"/>
      </w:pPr>
    </w:p>
    <w:p w:rsidR="00B4389E" w:rsidRDefault="00B4389E">
      <w:pPr>
        <w:snapToGrid w:val="0"/>
        <w:jc w:val="right"/>
      </w:pPr>
    </w:p>
    <w:p w:rsidR="00B4389E" w:rsidRDefault="00B4389E">
      <w:pPr>
        <w:snapToGrid w:val="0"/>
        <w:jc w:val="right"/>
      </w:pPr>
    </w:p>
    <w:p w:rsidR="00B4389E" w:rsidRDefault="00CD4F8D">
      <w:pPr>
        <w:snapToGrid w:val="0"/>
        <w:jc w:val="center"/>
        <w:rPr>
          <w:rFonts w:eastAsia="方正小标宋简体"/>
          <w:color w:val="FF0000"/>
          <w:w w:val="80"/>
          <w:sz w:val="72"/>
          <w:szCs w:val="72"/>
        </w:rPr>
      </w:pPr>
      <w:r>
        <w:rPr>
          <w:rFonts w:hint="eastAsia"/>
        </w:rPr>
        <w:t>湘教发〔</w:t>
      </w:r>
      <w:r>
        <w:rPr>
          <w:rFonts w:hint="eastAsia"/>
        </w:rPr>
        <w:t>2017</w:t>
      </w:r>
      <w:r>
        <w:rPr>
          <w:rFonts w:hint="eastAsia"/>
        </w:rPr>
        <w:t>〕</w:t>
      </w:r>
      <w:r>
        <w:t>3</w:t>
      </w:r>
      <w:r>
        <w:rPr>
          <w:rFonts w:hint="eastAsia"/>
        </w:rPr>
        <w:t>7</w:t>
      </w:r>
      <w:r>
        <w:rPr>
          <w:rFonts w:hint="eastAsia"/>
        </w:rPr>
        <w:t>号</w:t>
      </w:r>
    </w:p>
    <w:p w:rsidR="00B4389E" w:rsidRDefault="00B4389E">
      <w:pPr>
        <w:snapToGrid w:val="0"/>
        <w:jc w:val="distribute"/>
      </w:pPr>
      <w:r>
        <w:pict>
          <v:line id="_x0000_s1027" style="position:absolute;left:0;text-align:left;z-index:251624448" from="-9pt,10.65pt" to="433.2pt,10.65pt" o:gfxdata="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6aije2QAAAAkBAAAPAAAAAAAAAAEAIAAA&#10;ACIAAABkcnMvZG93bnJldi54bWxQSwECFAAUAAAACACHTuJAphnrWNIBAABoAwAADgAAAAAAAAAB&#10;ACAAAAAoAQAAZHJzL2Uyb0RvYy54bWxQSwUGAAAAAAYABgBZAQAAbAUAAAAA&#10;" strokecolor="red" strokeweight="2.5pt"/>
        </w:pict>
      </w:r>
    </w:p>
    <w:p w:rsidR="00B4389E" w:rsidRDefault="00B4389E">
      <w:pPr>
        <w:spacing w:line="600" w:lineRule="exact"/>
        <w:jc w:val="center"/>
        <w:rPr>
          <w:rFonts w:ascii="方正小标宋简体" w:eastAsia="方正小标宋简体" w:hAnsi="宋体"/>
          <w:sz w:val="44"/>
          <w:szCs w:val="44"/>
        </w:rPr>
      </w:pPr>
    </w:p>
    <w:p w:rsidR="00B4389E" w:rsidRDefault="00CD4F8D">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关于推进中小学生研学旅行工作的实施意见</w:t>
      </w:r>
    </w:p>
    <w:p w:rsidR="00B4389E" w:rsidRDefault="00B4389E">
      <w:pPr>
        <w:spacing w:line="600" w:lineRule="exact"/>
        <w:jc w:val="center"/>
        <w:rPr>
          <w:sz w:val="44"/>
          <w:szCs w:val="44"/>
        </w:rPr>
      </w:pPr>
    </w:p>
    <w:p w:rsidR="00B4389E" w:rsidRDefault="00CD4F8D">
      <w:pPr>
        <w:spacing w:line="620" w:lineRule="exact"/>
      </w:pPr>
      <w:r>
        <w:rPr>
          <w:rFonts w:hint="eastAsia"/>
        </w:rPr>
        <w:t>各市州教育（体）局、发改</w:t>
      </w:r>
      <w:r>
        <w:t>委</w:t>
      </w:r>
      <w:r>
        <w:rPr>
          <w:rFonts w:hint="eastAsia"/>
        </w:rPr>
        <w:t>、公安局、财政局、交通局、文广新局、食药监局、旅游局、团委，各保险公司湖南分公司，</w:t>
      </w:r>
      <w:r>
        <w:rPr>
          <w:rFonts w:hint="eastAsia"/>
        </w:rPr>
        <w:lastRenderedPageBreak/>
        <w:t>广铁集团湖南地区有关站段：</w:t>
      </w:r>
    </w:p>
    <w:p w:rsidR="00B4389E" w:rsidRDefault="00CD4F8D">
      <w:pPr>
        <w:spacing w:line="620" w:lineRule="exact"/>
        <w:ind w:firstLine="597"/>
      </w:pPr>
      <w:r>
        <w:rPr>
          <w:rFonts w:hint="eastAsia"/>
        </w:rPr>
        <w:t>为贯彻党的十九大精神，落实立德树人根本任务，发展中小学生综合素质，培养德智体美全面发展的社会主义建设者和接班人，根据《教育部等</w:t>
      </w:r>
      <w:r>
        <w:rPr>
          <w:rFonts w:hint="eastAsia"/>
        </w:rPr>
        <w:t>11</w:t>
      </w:r>
      <w:r>
        <w:rPr>
          <w:rFonts w:hint="eastAsia"/>
        </w:rPr>
        <w:t>部门关于推进中小学生研学旅行的意见》《中小学德育工作指南》《中小学综合实践活动课程指导纲要》等文件精神，结合我省实际，现就推进中小学生研学旅行工作提出如下实施意见。</w:t>
      </w:r>
    </w:p>
    <w:p w:rsidR="00B4389E" w:rsidRDefault="00CD4F8D">
      <w:pPr>
        <w:spacing w:line="620" w:lineRule="exact"/>
        <w:ind w:firstLine="597"/>
      </w:pPr>
      <w:r>
        <w:rPr>
          <w:rFonts w:ascii="黑体" w:eastAsia="黑体" w:hAnsi="黑体" w:cs="黑体" w:hint="eastAsia"/>
        </w:rPr>
        <w:t>一、重要意义</w:t>
      </w:r>
    </w:p>
    <w:p w:rsidR="00B4389E" w:rsidRDefault="00CD4F8D">
      <w:pPr>
        <w:spacing w:line="620" w:lineRule="exact"/>
        <w:ind w:firstLine="597"/>
        <w:rPr>
          <w:i/>
          <w:iCs/>
          <w:strike/>
        </w:rPr>
      </w:pPr>
      <w:r>
        <w:rPr>
          <w:rFonts w:hint="eastAsia"/>
        </w:rPr>
        <w:t>中小学生研学旅行是由教育部门和学校有计划地组织安排，通过集体旅行、集中食宿方式开展的研究性学习和旅行体验相结合的校外教育活动，是学校教育和校外教育衔接的创新形式，是教育教学的重要内容，是综合实践育人的有</w:t>
      </w:r>
      <w:r>
        <w:rPr>
          <w:rFonts w:hint="eastAsia"/>
        </w:rPr>
        <w:t>效途径。开展研学旅行，有利于促进学生培育和践行社会主义核心价值观，激发学生对党、对国家、对人民的热爱之情；有利于推动全面实施素质教育，创新人才培养模式，培养学生的社会责任感、创新精神和实践能力；有利于引导学生主动适应社会，促进书本知识和生活经验的深度融合，践行学思结合、知行合一，养成文明旅游行为习惯，促进学生身心健康发展。</w:t>
      </w:r>
    </w:p>
    <w:p w:rsidR="00B4389E" w:rsidRDefault="00CD4F8D">
      <w:pPr>
        <w:spacing w:line="620" w:lineRule="exact"/>
        <w:ind w:firstLine="597"/>
        <w:rPr>
          <w:i/>
          <w:iCs/>
          <w:strike/>
        </w:rPr>
      </w:pPr>
      <w:r>
        <w:rPr>
          <w:rFonts w:hint="eastAsia"/>
        </w:rPr>
        <w:t>近年来，各地积极探索开展研学旅行，在促进学生健康成长和全面发展等方面发挥了较好作用，但一些地区和学校在推进研学旅行工作过程中，存在思想认识不到位、课程设计不科学、研学效果不明显、组织实施</w:t>
      </w:r>
      <w:r>
        <w:rPr>
          <w:rFonts w:hint="eastAsia"/>
        </w:rPr>
        <w:t>不规范、安全保障不严密等问</w:t>
      </w:r>
      <w:r>
        <w:rPr>
          <w:rFonts w:hint="eastAsia"/>
        </w:rPr>
        <w:lastRenderedPageBreak/>
        <w:t>题，未能有效达成研学教育目的。各地各部门要把研学旅行摆在更加重要的位置，推动研学旅行健康快速发展。</w:t>
      </w:r>
    </w:p>
    <w:p w:rsidR="00B4389E" w:rsidRDefault="00CD4F8D">
      <w:pPr>
        <w:spacing w:line="620" w:lineRule="exact"/>
        <w:ind w:firstLine="597"/>
        <w:rPr>
          <w:rFonts w:ascii="黑体" w:eastAsia="黑体" w:hAnsi="黑体" w:cs="黑体"/>
        </w:rPr>
      </w:pPr>
      <w:r>
        <w:rPr>
          <w:rFonts w:ascii="黑体" w:eastAsia="黑体" w:hAnsi="黑体" w:cs="黑体" w:hint="eastAsia"/>
        </w:rPr>
        <w:t>二、工作目标</w:t>
      </w:r>
    </w:p>
    <w:p w:rsidR="00B4389E" w:rsidRDefault="00CD4F8D">
      <w:pPr>
        <w:spacing w:line="620" w:lineRule="exact"/>
        <w:ind w:firstLine="597"/>
        <w:rPr>
          <w:spacing w:val="6"/>
        </w:rPr>
      </w:pPr>
      <w:r>
        <w:rPr>
          <w:rFonts w:hint="eastAsia"/>
          <w:spacing w:val="6"/>
        </w:rPr>
        <w:t>以立德树人、培养人才为根本目的，以预防为重、确保安全为基本前提，以深化改革、完善政策为着力点，以统筹协调、整合资源为突破口，因地制宜开展研学旅行。让广大中小学生在研学旅行中感受祖国大好河山，感受中华传统美德，感受革命光荣历史，感受改革开放伟大成就，感受新时代中华民族伟大复兴的光荣梦想与使命，增强对坚定“四个自信”的理解与认同；同时学会动手动脑，学会生存生活，学会做人做事</w:t>
      </w:r>
      <w:r>
        <w:rPr>
          <w:rFonts w:hint="eastAsia"/>
          <w:spacing w:val="6"/>
        </w:rPr>
        <w:t>，促进身心健康、体魄强健、意志坚强，促进形成正确的世界观、人生观、价值观，培养他们成为德智体美全面发展的社会主义建设者和接班人。</w:t>
      </w:r>
    </w:p>
    <w:p w:rsidR="00B4389E" w:rsidRDefault="00CD4F8D">
      <w:pPr>
        <w:spacing w:line="620" w:lineRule="exact"/>
        <w:ind w:firstLine="597"/>
      </w:pPr>
      <w:r>
        <w:rPr>
          <w:rFonts w:hint="eastAsia"/>
        </w:rPr>
        <w:t>开发一批育人效果突出的研学旅行活动课程，建设一批具有良好示范带动作用的研学旅行基地，打造一批具有影响力的研学旅行精品线路，建立一套规范管理、责任清晰、多元筹资、保障安全的研学旅行工作机制，探索形成中小学生广泛参与、活动品质持续提升、组织管理规范有序、基础条件保障有力、安全责任落实到位、文化氛围健康向上的研学旅行发展体系。</w:t>
      </w:r>
    </w:p>
    <w:p w:rsidR="00B4389E" w:rsidRDefault="00CD4F8D">
      <w:pPr>
        <w:spacing w:line="620" w:lineRule="exact"/>
        <w:ind w:firstLine="597"/>
      </w:pPr>
      <w:r>
        <w:rPr>
          <w:rFonts w:ascii="黑体" w:eastAsia="黑体" w:hAnsi="黑体" w:cs="黑体" w:hint="eastAsia"/>
        </w:rPr>
        <w:t>三、基本原则</w:t>
      </w:r>
    </w:p>
    <w:p w:rsidR="00B4389E" w:rsidRDefault="00CD4F8D">
      <w:pPr>
        <w:spacing w:line="620" w:lineRule="exact"/>
        <w:ind w:firstLine="597"/>
      </w:pPr>
      <w:r>
        <w:rPr>
          <w:rFonts w:hint="eastAsia"/>
        </w:rPr>
        <w:t>教育性原则。研学旅行要结合学生身心特点、接受</w:t>
      </w:r>
      <w:r>
        <w:rPr>
          <w:rFonts w:hint="eastAsia"/>
        </w:rPr>
        <w:t>能力和实际需要，注重系统性、知识性、科学性和趣味性，精心设计</w:t>
      </w:r>
      <w:r>
        <w:rPr>
          <w:rFonts w:hint="eastAsia"/>
        </w:rPr>
        <w:lastRenderedPageBreak/>
        <w:t>和组织研学课程，为学生全面发展提供良好成长空间，使研学旅行真正达到“以研促学”的教育目的。</w:t>
      </w:r>
    </w:p>
    <w:p w:rsidR="00B4389E" w:rsidRDefault="00CD4F8D">
      <w:pPr>
        <w:spacing w:line="620" w:lineRule="exact"/>
        <w:ind w:firstLine="597"/>
      </w:pPr>
      <w:r>
        <w:rPr>
          <w:rFonts w:hint="eastAsia"/>
        </w:rPr>
        <w:t>实践性原则。研学旅行要因地制宜，呈现地域特色，引导学生走出校园，在与日常生活不同的环境中拓展视野、丰富知识、了解社会、亲近自然、参与体验。</w:t>
      </w:r>
    </w:p>
    <w:p w:rsidR="00B4389E" w:rsidRDefault="00CD4F8D">
      <w:pPr>
        <w:spacing w:line="620" w:lineRule="exact"/>
        <w:ind w:firstLine="597"/>
      </w:pPr>
      <w:r>
        <w:rPr>
          <w:rFonts w:hint="eastAsia"/>
        </w:rPr>
        <w:t>安全性原则。研学旅行要坚持安全第一，建立安全保障机制，明确安全保障责任，落实安全保障措施，确保学生安全。</w:t>
      </w:r>
    </w:p>
    <w:p w:rsidR="00B4389E" w:rsidRDefault="00CD4F8D">
      <w:pPr>
        <w:spacing w:line="620" w:lineRule="exact"/>
        <w:ind w:firstLine="597"/>
      </w:pPr>
      <w:r>
        <w:rPr>
          <w:rFonts w:hint="eastAsia"/>
        </w:rPr>
        <w:t>规范性原则。研学旅行应在家长和学生自愿的前提下开展，要规范组织，全程公开、透明、可监督，不得发生任何损害学生利益行</w:t>
      </w:r>
      <w:r>
        <w:rPr>
          <w:rFonts w:hint="eastAsia"/>
        </w:rPr>
        <w:t>为，不得发生任何违规违纪行为，营造风清气正的良好生态。</w:t>
      </w:r>
    </w:p>
    <w:p w:rsidR="00B4389E" w:rsidRDefault="00CD4F8D">
      <w:pPr>
        <w:spacing w:line="620" w:lineRule="exact"/>
        <w:ind w:firstLine="597"/>
      </w:pPr>
      <w:r>
        <w:rPr>
          <w:rFonts w:hint="eastAsia"/>
        </w:rPr>
        <w:t>普惠性原则。研学旅行应面向以中小学生为主体的全体学生，保障每个学生都能享有均等的参与机会。</w:t>
      </w:r>
    </w:p>
    <w:p w:rsidR="00B4389E" w:rsidRDefault="00CD4F8D">
      <w:pPr>
        <w:spacing w:line="620" w:lineRule="exact"/>
        <w:ind w:firstLine="597"/>
      </w:pPr>
      <w:r>
        <w:rPr>
          <w:rFonts w:hint="eastAsia"/>
        </w:rPr>
        <w:t>公益性原则。不得开展以营利为目的的经营性创收，对贫困家庭学生要减免费用。</w:t>
      </w:r>
    </w:p>
    <w:p w:rsidR="00B4389E" w:rsidRDefault="00CD4F8D">
      <w:pPr>
        <w:spacing w:line="620" w:lineRule="exact"/>
        <w:ind w:firstLine="597"/>
      </w:pPr>
      <w:r>
        <w:rPr>
          <w:rFonts w:ascii="黑体" w:eastAsia="黑体" w:hAnsi="黑体" w:cs="黑体" w:hint="eastAsia"/>
        </w:rPr>
        <w:t>四、主要任务</w:t>
      </w:r>
    </w:p>
    <w:p w:rsidR="00B4389E" w:rsidRDefault="00CD4F8D">
      <w:pPr>
        <w:spacing w:line="620" w:lineRule="exact"/>
        <w:ind w:firstLine="597"/>
      </w:pPr>
      <w:r>
        <w:rPr>
          <w:rFonts w:ascii="楷体_GB2312" w:eastAsia="楷体_GB2312" w:hAnsi="楷体_GB2312" w:cs="楷体_GB2312" w:hint="eastAsia"/>
          <w:b/>
          <w:bCs/>
        </w:rPr>
        <w:t>1.</w:t>
      </w:r>
      <w:r>
        <w:rPr>
          <w:rFonts w:ascii="楷体_GB2312" w:eastAsia="楷体_GB2312" w:hAnsi="楷体_GB2312" w:cs="楷体_GB2312" w:hint="eastAsia"/>
          <w:b/>
          <w:bCs/>
        </w:rPr>
        <w:t>纳入中小学教育教学计划</w:t>
      </w:r>
      <w:r>
        <w:rPr>
          <w:rFonts w:hint="eastAsia"/>
        </w:rPr>
        <w:t>。各中小学要结合当地实际，把研学旅行纳入学校教育教学计划，与综合实践活动课程统筹考虑，促进研学旅行和学校课程有机融合，做到立意高远、目的明确、活动生动、学习有效，避免“只旅不学”或“只学不旅”现象。学校根据教育教学计划灵活安排研学旅行时间，一般安排在小学四到六年级、初中一到二年级、高中一到二年级，</w:t>
      </w:r>
      <w:r>
        <w:rPr>
          <w:rFonts w:hint="eastAsia"/>
        </w:rPr>
        <w:lastRenderedPageBreak/>
        <w:t>一般在学期中安排，尽量错开旅游高峰期。</w:t>
      </w:r>
    </w:p>
    <w:p w:rsidR="00B4389E" w:rsidRDefault="00CD4F8D">
      <w:pPr>
        <w:spacing w:line="620" w:lineRule="exact"/>
        <w:ind w:firstLine="597"/>
      </w:pPr>
      <w:r>
        <w:rPr>
          <w:rFonts w:ascii="楷体_GB2312" w:eastAsia="楷体_GB2312" w:hAnsi="楷体_GB2312" w:cs="楷体_GB2312" w:hint="eastAsia"/>
          <w:b/>
          <w:bCs/>
        </w:rPr>
        <w:t>2.</w:t>
      </w:r>
      <w:r>
        <w:rPr>
          <w:rFonts w:ascii="楷体_GB2312" w:eastAsia="楷体_GB2312" w:hAnsi="楷体_GB2312" w:cs="楷体_GB2312" w:hint="eastAsia"/>
          <w:b/>
          <w:bCs/>
        </w:rPr>
        <w:t>加强研学旅行课程建设</w:t>
      </w:r>
      <w:r>
        <w:rPr>
          <w:rFonts w:hint="eastAsia"/>
        </w:rPr>
        <w:t>。研学旅行课程是体现研学旅行教育性的核心。要以教育部门和学校为主导，联合基地和研学旅行机构，将研学旅行作为理想信念教育、爱国主义教育、革命传统教育、国</w:t>
      </w:r>
      <w:r>
        <w:rPr>
          <w:rFonts w:hint="eastAsia"/>
        </w:rPr>
        <w:t>情教育、综合实践教育的重要载体，根据小学、初中、高中不同学段的研学旅行目标，有针对性地开发具有湖湘特色的自然类、历史类、地理类、科技类、人文类、体验类等多种类型的活动课程，逐步建立小学阶段以乡土乡情为主、初中阶段以县情市情为主、高中阶段以省情国情为主的研学旅行活动课程体系。研学旅行课程由教育部门负责审定，研学旅行组织实施人员使用，不得面向学生编制发放教材。</w:t>
      </w:r>
    </w:p>
    <w:p w:rsidR="00B4389E" w:rsidRDefault="00CD4F8D">
      <w:pPr>
        <w:spacing w:line="620" w:lineRule="exact"/>
        <w:ind w:firstLine="597"/>
      </w:pPr>
      <w:r>
        <w:rPr>
          <w:rFonts w:ascii="楷体_GB2312" w:eastAsia="楷体_GB2312" w:hAnsi="楷体_GB2312" w:cs="楷体_GB2312" w:hint="eastAsia"/>
          <w:b/>
          <w:bCs/>
        </w:rPr>
        <w:t>3.</w:t>
      </w:r>
      <w:r>
        <w:rPr>
          <w:rFonts w:ascii="楷体_GB2312" w:eastAsia="楷体_GB2312" w:hAnsi="楷体_GB2312" w:cs="楷体_GB2312" w:hint="eastAsia"/>
          <w:b/>
          <w:bCs/>
        </w:rPr>
        <w:t>建设研学旅行导师队伍</w:t>
      </w:r>
      <w:r>
        <w:rPr>
          <w:rFonts w:hint="eastAsia"/>
        </w:rPr>
        <w:t>。研学旅行必须在学校带队老师的指导下，由具备专业能力的研学导师组织实施。研学导师必须具备教育教学、旅行组织、安全应急等专业能力，</w:t>
      </w:r>
      <w:r>
        <w:rPr>
          <w:rFonts w:hint="eastAsia"/>
        </w:rPr>
        <w:t>由教育部门联合相关部门负责培训与认定。教研部门要积极开展研学旅行科学研究，探索建设研学旅行导师队伍、提升研学旅行工作实效的科学模式。</w:t>
      </w:r>
    </w:p>
    <w:p w:rsidR="00B4389E" w:rsidRDefault="00CD4F8D">
      <w:pPr>
        <w:spacing w:line="620" w:lineRule="exact"/>
        <w:ind w:firstLine="597"/>
      </w:pPr>
      <w:r>
        <w:rPr>
          <w:rFonts w:ascii="楷体_GB2312" w:eastAsia="楷体_GB2312" w:hAnsi="楷体_GB2312" w:cs="楷体_GB2312" w:hint="eastAsia"/>
          <w:b/>
          <w:bCs/>
        </w:rPr>
        <w:t>4.</w:t>
      </w:r>
      <w:r>
        <w:rPr>
          <w:rFonts w:ascii="楷体_GB2312" w:eastAsia="楷体_GB2312" w:hAnsi="楷体_GB2312" w:cs="楷体_GB2312" w:hint="eastAsia"/>
          <w:b/>
          <w:bCs/>
        </w:rPr>
        <w:t>加强研学旅行基地建设</w:t>
      </w:r>
      <w:r>
        <w:rPr>
          <w:rFonts w:hint="eastAsia"/>
        </w:rPr>
        <w:t>。各地教育、文化、旅游、共青团等部门要密切合作，根据研学旅行育人目标，结合域情、校情、生情，依托自然和文化遗产资源、红色教育资源和综合实践基地、大型公共设施、知名院校、工矿企业、科研机构等，遴选建设一批安全适宜的中小学生研学旅行基地，探索建立基</w:t>
      </w:r>
      <w:r>
        <w:rPr>
          <w:rFonts w:hint="eastAsia"/>
        </w:rPr>
        <w:lastRenderedPageBreak/>
        <w:t>地的准入标准、退出机制和评价体系；要以基地为重要依托，积极推动资源共享和区域合作，打造一批示范性研学旅行精品线</w:t>
      </w:r>
      <w:r>
        <w:rPr>
          <w:rFonts w:hint="eastAsia"/>
        </w:rPr>
        <w:t>路，逐步形成布局合理、互联互通的研学旅行网络。省级教育部门将会同相关部门探索建立基地的准入条件、服务标准、退出机制和评价体系，命名一批省级研学旅行基地，并对入选的基地实行定期评估验收和动态管理。各地要借鉴省里的办法</w:t>
      </w:r>
      <w:r>
        <w:rPr>
          <w:rFonts w:hint="eastAsia"/>
        </w:rPr>
        <w:t>,</w:t>
      </w:r>
      <w:r>
        <w:rPr>
          <w:rFonts w:hint="eastAsia"/>
        </w:rPr>
        <w:t>每年遴选、公布当地的研学旅行基地推荐目录。原则上各地各校研学旅行活动要在具有相关资质的研学旅行基地进行。</w:t>
      </w:r>
    </w:p>
    <w:p w:rsidR="00B4389E" w:rsidRDefault="00CD4F8D">
      <w:pPr>
        <w:spacing w:line="620" w:lineRule="exact"/>
        <w:ind w:firstLine="597"/>
        <w:rPr>
          <w:spacing w:val="6"/>
        </w:rPr>
      </w:pPr>
      <w:r>
        <w:rPr>
          <w:rFonts w:ascii="楷体_GB2312" w:eastAsia="楷体_GB2312" w:hAnsi="楷体_GB2312" w:cs="楷体_GB2312" w:hint="eastAsia"/>
          <w:b/>
          <w:bCs/>
          <w:spacing w:val="6"/>
        </w:rPr>
        <w:t>5.</w:t>
      </w:r>
      <w:r>
        <w:rPr>
          <w:rFonts w:ascii="楷体_GB2312" w:eastAsia="楷体_GB2312" w:hAnsi="楷体_GB2312" w:cs="楷体_GB2312" w:hint="eastAsia"/>
          <w:b/>
          <w:bCs/>
          <w:spacing w:val="6"/>
        </w:rPr>
        <w:t>规范研学旅行组织实施</w:t>
      </w:r>
      <w:r>
        <w:rPr>
          <w:rFonts w:hint="eastAsia"/>
          <w:spacing w:val="6"/>
        </w:rPr>
        <w:t>。各地教育行政部门和中小学要探索制定中小学生研学旅行工作规程，做到“活动有方案，行前有备案，应急有预案”。学校组织开展研学旅行应提前拟定活动计划并按管理权限报教育行政</w:t>
      </w:r>
      <w:r>
        <w:rPr>
          <w:rFonts w:hint="eastAsia"/>
          <w:spacing w:val="6"/>
        </w:rPr>
        <w:t>部门备案。从活动的计划准备到组织实施，全程应公开、透明、可监督，保证学生利益，保证家长选择权和知情权，通过家长委员会、致家长的一封信、召开家长会、信息化平台等形式告知家长活动意义、时间安排、出行线路、费用收支、注意事项等信息，加强学生和教师的研学旅行事前培训和事后考核。学校组织开展研学旅行，要根据需要配备一定比例的学校领导、教师和安全员，也可吸收少数家长作为志愿者，负责学生活动管理和安全保障，与家长签订协议书，明确学校、家长、学生的责任权利。学校委托开展研学旅行，应采取招标的形式确定有资质、专业性强、信誉好</w:t>
      </w:r>
      <w:r>
        <w:rPr>
          <w:rFonts w:hint="eastAsia"/>
          <w:spacing w:val="6"/>
        </w:rPr>
        <w:t>的企业或机构，并保障家长参</w:t>
      </w:r>
      <w:r>
        <w:rPr>
          <w:rFonts w:hint="eastAsia"/>
          <w:spacing w:val="6"/>
        </w:rPr>
        <w:lastRenderedPageBreak/>
        <w:t>与选择企业或机构的权利。学校要与被选中的委托企业或机构签订协议书，明确委托企业或机构承担学生研学旅行安全责任。</w:t>
      </w:r>
      <w:r>
        <w:rPr>
          <w:rFonts w:hint="eastAsia"/>
          <w:spacing w:val="6"/>
        </w:rPr>
        <w:t>省级</w:t>
      </w:r>
      <w:r>
        <w:rPr>
          <w:rFonts w:hint="eastAsia"/>
          <w:spacing w:val="6"/>
        </w:rPr>
        <w:t>教育部门</w:t>
      </w:r>
      <w:r>
        <w:rPr>
          <w:rFonts w:hint="eastAsia"/>
          <w:spacing w:val="6"/>
        </w:rPr>
        <w:t>将</w:t>
      </w:r>
      <w:r>
        <w:rPr>
          <w:rFonts w:hint="eastAsia"/>
          <w:spacing w:val="6"/>
        </w:rPr>
        <w:t>会同旅游部门审核开展研学旅行的企业或机构的准入条件和服务标准，认定一批专业性强、信誉好的企业或机构。</w:t>
      </w:r>
    </w:p>
    <w:p w:rsidR="00B4389E" w:rsidRDefault="00CD4F8D">
      <w:pPr>
        <w:spacing w:line="620" w:lineRule="exact"/>
        <w:ind w:firstLine="597"/>
      </w:pPr>
      <w:r>
        <w:rPr>
          <w:rFonts w:ascii="楷体_GB2312" w:eastAsia="楷体_GB2312" w:hAnsi="楷体_GB2312" w:cs="楷体_GB2312" w:hint="eastAsia"/>
          <w:b/>
          <w:bCs/>
        </w:rPr>
        <w:t>6.</w:t>
      </w:r>
      <w:r>
        <w:rPr>
          <w:rFonts w:ascii="楷体_GB2312" w:eastAsia="楷体_GB2312" w:hAnsi="楷体_GB2312" w:cs="楷体_GB2312" w:hint="eastAsia"/>
          <w:b/>
          <w:bCs/>
        </w:rPr>
        <w:t>健全经费筹措机制</w:t>
      </w:r>
      <w:r>
        <w:rPr>
          <w:rFonts w:hint="eastAsia"/>
        </w:rPr>
        <w:t>。各地可采取多种形式、多种渠道筹措中小学生研学旅行经费，探索建立政府、学校、社会、家庭共同承担的多元化经费筹措机制。交通部门对中小学生研学旅行公路和水路出行严格执行儿童票价优惠政策，铁路部门可根据研学旅行需求，在能力许可范围内积极安排好运力</w:t>
      </w:r>
      <w:r>
        <w:rPr>
          <w:rFonts w:hint="eastAsia"/>
        </w:rPr>
        <w:t>。文化、旅游等部门要对中小学生研学旅行实施减免场馆、景区、景点门票政策，提供优质旅游服务。保险监督管理机构会同教育行政部门推动将研学旅行纳入校方责任险范围，鼓励保险企业开发有针对性的产品，对投保费用实施优惠措施。鼓励通过社会捐赠、公益性活动等形式支持开展研学旅行。</w:t>
      </w:r>
    </w:p>
    <w:p w:rsidR="00B4389E" w:rsidRDefault="00CD4F8D">
      <w:pPr>
        <w:spacing w:line="620" w:lineRule="exact"/>
        <w:ind w:firstLine="597"/>
      </w:pPr>
      <w:r>
        <w:rPr>
          <w:rFonts w:ascii="楷体_GB2312" w:eastAsia="楷体_GB2312" w:hAnsi="楷体_GB2312" w:cs="楷体_GB2312" w:hint="eastAsia"/>
          <w:b/>
          <w:bCs/>
        </w:rPr>
        <w:t>7.</w:t>
      </w:r>
      <w:r>
        <w:rPr>
          <w:rFonts w:ascii="楷体_GB2312" w:eastAsia="楷体_GB2312" w:hAnsi="楷体_GB2312" w:cs="楷体_GB2312" w:hint="eastAsia"/>
          <w:b/>
          <w:bCs/>
        </w:rPr>
        <w:t>建立安全责任体系</w:t>
      </w:r>
      <w:r>
        <w:rPr>
          <w:rFonts w:hint="eastAsia"/>
        </w:rPr>
        <w:t>。各地要制订科学有效的中小学生研学旅行安全保障方案，探索建立行之有效的安全责任落实、事故处理、责任界定及纠纷处理机制，实施分级备案制度，做到层层落实，责任到人。教育行政部门负责督促学校落实安全责任，审核学校报送的活动方案（含保</w:t>
      </w:r>
      <w:r>
        <w:rPr>
          <w:rFonts w:hint="eastAsia"/>
        </w:rPr>
        <w:t>单信息）和应急预案。学校要做好行前安全教育工作，负责确认出行师生购买意外险，必须投保校方责任险，与家长签订安全责任书，与委托开展研</w:t>
      </w:r>
      <w:r>
        <w:rPr>
          <w:rFonts w:hint="eastAsia"/>
        </w:rPr>
        <w:lastRenderedPageBreak/>
        <w:t>学旅行的企业或机构签订安全责任书，明确各方安全责任。交通部门负责督促有关运输企业检查学生出行的车、船等交通工具。公安、食品药品监管等部门加强对研学旅行涉及的住宿、餐饮等公共经营场所的安全监督，依法查处运送学生车辆的交通违法行为。保险监督管理机构负责指导保险行业提供并优化校方责任险、旅行社责任险等相关产品。</w:t>
      </w:r>
    </w:p>
    <w:p w:rsidR="00B4389E" w:rsidRDefault="00CD4F8D">
      <w:pPr>
        <w:spacing w:line="620" w:lineRule="exact"/>
        <w:ind w:firstLineChars="200" w:firstLine="598"/>
      </w:pPr>
      <w:r>
        <w:rPr>
          <w:rFonts w:ascii="黑体" w:eastAsia="黑体" w:hAnsi="黑体" w:cs="黑体" w:hint="eastAsia"/>
        </w:rPr>
        <w:t>五、组织保障</w:t>
      </w:r>
    </w:p>
    <w:p w:rsidR="00B4389E" w:rsidRDefault="00CD4F8D" w:rsidP="006333B4">
      <w:pPr>
        <w:spacing w:line="620" w:lineRule="exact"/>
        <w:ind w:firstLineChars="200" w:firstLine="600"/>
      </w:pPr>
      <w:r>
        <w:rPr>
          <w:rFonts w:ascii="楷体_GB2312" w:eastAsia="楷体_GB2312" w:hAnsi="楷体_GB2312" w:cs="楷体_GB2312" w:hint="eastAsia"/>
          <w:b/>
          <w:bCs/>
        </w:rPr>
        <w:t>1.</w:t>
      </w:r>
      <w:r>
        <w:rPr>
          <w:rFonts w:ascii="楷体_GB2312" w:eastAsia="楷体_GB2312" w:hAnsi="楷体_GB2312" w:cs="楷体_GB2312" w:hint="eastAsia"/>
          <w:b/>
          <w:bCs/>
        </w:rPr>
        <w:t>加强统筹协调</w:t>
      </w:r>
      <w:r>
        <w:rPr>
          <w:rFonts w:hint="eastAsia"/>
        </w:rPr>
        <w:t>。省教育与发改、财政、旅游、交通、文化、公安、食品药品监管、保险监督、共青团和铁路等部门联合成立“湖南省中小学生研学旅行工作联席会议领导小组”，全面指导协调推进我省研学旅行工作，省教育厅分管厅长为总召集人。各地要成立相应研学旅行领导小组，教育部门负责统筹协调和具体实施，加大对研学旅行工作的统筹规划和管理指导工作，制定具体的工作实施方案，切实将好事办好。</w:t>
      </w:r>
    </w:p>
    <w:p w:rsidR="00B4389E" w:rsidRDefault="00CD4F8D" w:rsidP="006333B4">
      <w:pPr>
        <w:spacing w:line="620" w:lineRule="exact"/>
        <w:ind w:firstLineChars="200" w:firstLine="600"/>
      </w:pPr>
      <w:r>
        <w:rPr>
          <w:rFonts w:ascii="楷体_GB2312" w:eastAsia="楷体_GB2312" w:hAnsi="楷体_GB2312" w:cs="楷体_GB2312" w:hint="eastAsia"/>
          <w:b/>
          <w:bCs/>
        </w:rPr>
        <w:t>2.</w:t>
      </w:r>
      <w:r>
        <w:rPr>
          <w:rFonts w:ascii="楷体_GB2312" w:eastAsia="楷体_GB2312" w:hAnsi="楷体_GB2312" w:cs="楷体_GB2312" w:hint="eastAsia"/>
          <w:b/>
          <w:bCs/>
        </w:rPr>
        <w:t>强化督查评价</w:t>
      </w:r>
      <w:r>
        <w:rPr>
          <w:rFonts w:hint="eastAsia"/>
        </w:rPr>
        <w:t>。各地要建立健全中小学生参加研学旅行的评价机制，把中小学组织学生参加研学旅行的情况和成效作为学校综合考评体系的重要内容。学校要在充分尊重个性</w:t>
      </w:r>
      <w:r>
        <w:rPr>
          <w:rFonts w:hint="eastAsia"/>
        </w:rPr>
        <w:t>差异、鼓励多元发展的前提下，对学生参加研学旅行的情况和成效进行科学评价，并将评价结果逐步纳入学生学分管理体系和学生综合素质评价体系。</w:t>
      </w:r>
    </w:p>
    <w:p w:rsidR="00B4389E" w:rsidRDefault="00CD4F8D">
      <w:pPr>
        <w:spacing w:line="620" w:lineRule="exact"/>
        <w:ind w:firstLine="597"/>
      </w:pPr>
      <w:r>
        <w:rPr>
          <w:rFonts w:ascii="楷体_GB2312" w:eastAsia="楷体_GB2312" w:hAnsi="楷体_GB2312" w:cs="楷体_GB2312" w:hint="eastAsia"/>
          <w:b/>
          <w:bCs/>
        </w:rPr>
        <w:t>3.</w:t>
      </w:r>
      <w:r>
        <w:rPr>
          <w:rFonts w:ascii="楷体_GB2312" w:eastAsia="楷体_GB2312" w:hAnsi="楷体_GB2312" w:cs="楷体_GB2312" w:hint="eastAsia"/>
          <w:b/>
          <w:bCs/>
        </w:rPr>
        <w:t>加强宣传引导</w:t>
      </w:r>
      <w:r>
        <w:rPr>
          <w:rFonts w:hint="eastAsia"/>
        </w:rPr>
        <w:t>。各地要在中小学广泛开展研学旅行实验区和示范校创建工作，充分培育、挖掘和提炼先进典型经验，</w:t>
      </w:r>
      <w:r>
        <w:rPr>
          <w:rFonts w:hint="eastAsia"/>
        </w:rPr>
        <w:lastRenderedPageBreak/>
        <w:t>以点带面，整体推进。各地要积极创新宣传内容和形式，向家长宣传研学旅行的重要意义，向学生宣传“读万卷书、行万里路”的重大作用，为研学旅行工作营造良好的社会环境和舆论氛围。</w:t>
      </w:r>
    </w:p>
    <w:p w:rsidR="00B4389E" w:rsidRDefault="00B4389E">
      <w:pPr>
        <w:spacing w:line="620" w:lineRule="exact"/>
        <w:ind w:firstLine="597"/>
      </w:pPr>
    </w:p>
    <w:p w:rsidR="00B4389E" w:rsidRDefault="00B4389E">
      <w:pPr>
        <w:spacing w:line="560" w:lineRule="exact"/>
        <w:ind w:firstLine="597"/>
      </w:pPr>
    </w:p>
    <w:p w:rsidR="00B4389E" w:rsidRDefault="00CD4F8D">
      <w:r>
        <w:rPr>
          <w:rFonts w:hint="eastAsia"/>
        </w:rPr>
        <w:t>湖南省教育厅</w:t>
      </w:r>
      <w:r>
        <w:rPr>
          <w:rFonts w:hint="eastAsia"/>
        </w:rPr>
        <w:t xml:space="preserve">    </w:t>
      </w:r>
      <w:r>
        <w:rPr>
          <w:rFonts w:hint="eastAsia"/>
        </w:rPr>
        <w:t>湖南省发展和改革委员会</w:t>
      </w:r>
      <w:r>
        <w:rPr>
          <w:rFonts w:hint="eastAsia"/>
        </w:rPr>
        <w:t xml:space="preserve">    </w:t>
      </w:r>
      <w:r>
        <w:rPr>
          <w:rFonts w:hint="eastAsia"/>
        </w:rPr>
        <w:t>湖南省公安厅</w:t>
      </w:r>
    </w:p>
    <w:p w:rsidR="00B4389E" w:rsidRDefault="00B4389E"/>
    <w:p w:rsidR="00B4389E" w:rsidRDefault="00B4389E"/>
    <w:p w:rsidR="00B4389E" w:rsidRDefault="00B4389E"/>
    <w:p w:rsidR="00B4389E" w:rsidRDefault="00B4389E"/>
    <w:p w:rsidR="00B4389E" w:rsidRDefault="00CD4F8D">
      <w:r>
        <w:rPr>
          <w:rFonts w:hint="eastAsia"/>
        </w:rPr>
        <w:t>湖南省财政厅</w:t>
      </w:r>
      <w:r>
        <w:rPr>
          <w:rFonts w:hint="eastAsia"/>
        </w:rPr>
        <w:t xml:space="preserve">      </w:t>
      </w:r>
      <w:r>
        <w:rPr>
          <w:rFonts w:hint="eastAsia"/>
        </w:rPr>
        <w:t>湖</w:t>
      </w:r>
      <w:r>
        <w:rPr>
          <w:rFonts w:hint="eastAsia"/>
        </w:rPr>
        <w:t>南省交通运输厅</w:t>
      </w:r>
      <w:r>
        <w:rPr>
          <w:rFonts w:hint="eastAsia"/>
        </w:rPr>
        <w:t xml:space="preserve">       </w:t>
      </w:r>
      <w:r>
        <w:rPr>
          <w:rFonts w:hint="eastAsia"/>
        </w:rPr>
        <w:t>湖南省文化厅</w:t>
      </w:r>
    </w:p>
    <w:p w:rsidR="00B4389E" w:rsidRDefault="00B4389E"/>
    <w:p w:rsidR="00B4389E" w:rsidRDefault="00B4389E"/>
    <w:p w:rsidR="00B4389E" w:rsidRDefault="00B4389E"/>
    <w:p w:rsidR="00B4389E" w:rsidRDefault="00CD4F8D">
      <w:r>
        <w:rPr>
          <w:rFonts w:hint="eastAsia"/>
          <w:spacing w:val="-34"/>
        </w:rPr>
        <w:t>湖南省食品药品监督管理局</w:t>
      </w:r>
      <w:r>
        <w:rPr>
          <w:rFonts w:hint="eastAsia"/>
          <w:spacing w:val="-34"/>
        </w:rPr>
        <w:t xml:space="preserve">    </w:t>
      </w:r>
      <w:r>
        <w:rPr>
          <w:rFonts w:hint="eastAsia"/>
          <w:spacing w:val="-34"/>
        </w:rPr>
        <w:t>湖南省旅游发展委员会</w:t>
      </w:r>
      <w:r>
        <w:rPr>
          <w:rFonts w:hint="eastAsia"/>
          <w:spacing w:val="-34"/>
        </w:rPr>
        <w:t xml:space="preserve">    </w:t>
      </w:r>
      <w:r>
        <w:rPr>
          <w:rFonts w:hint="eastAsia"/>
          <w:spacing w:val="-34"/>
        </w:rPr>
        <w:t>中国保监会湖南监管局</w:t>
      </w:r>
    </w:p>
    <w:p w:rsidR="00B4389E" w:rsidRDefault="00B4389E"/>
    <w:p w:rsidR="00B4389E" w:rsidRDefault="00B4389E"/>
    <w:p w:rsidR="00B4389E" w:rsidRDefault="00B4389E"/>
    <w:p w:rsidR="00B4389E" w:rsidRDefault="00CD4F8D">
      <w:r>
        <w:rPr>
          <w:rFonts w:hint="eastAsia"/>
        </w:rPr>
        <w:t>共青团湖南省委员会</w:t>
      </w:r>
      <w:r>
        <w:rPr>
          <w:rFonts w:hint="eastAsia"/>
        </w:rPr>
        <w:t xml:space="preserve">          </w:t>
      </w:r>
      <w:r>
        <w:rPr>
          <w:rFonts w:hint="eastAsia"/>
        </w:rPr>
        <w:t>中国铁路广州局集团</w:t>
      </w:r>
      <w:r>
        <w:t>有限公司</w:t>
      </w:r>
    </w:p>
    <w:p w:rsidR="00B4389E" w:rsidRDefault="00CD4F8D">
      <w:r>
        <w:rPr>
          <w:rFonts w:hint="eastAsia"/>
        </w:rPr>
        <w:t xml:space="preserve">                              2017</w:t>
      </w:r>
      <w:r>
        <w:rPr>
          <w:rFonts w:hint="eastAsia"/>
        </w:rPr>
        <w:t>年</w:t>
      </w:r>
      <w:r>
        <w:rPr>
          <w:rFonts w:hint="eastAsia"/>
        </w:rPr>
        <w:t>12</w:t>
      </w:r>
      <w:r>
        <w:rPr>
          <w:rFonts w:hint="eastAsia"/>
        </w:rPr>
        <w:t>月</w:t>
      </w:r>
      <w:r>
        <w:rPr>
          <w:rFonts w:hint="eastAsia"/>
        </w:rPr>
        <w:t>22</w:t>
      </w:r>
      <w:r>
        <w:rPr>
          <w:rFonts w:hint="eastAsia"/>
        </w:rPr>
        <w:t>日</w:t>
      </w:r>
    </w:p>
    <w:p w:rsidR="00B4389E" w:rsidRDefault="00B4389E">
      <w:pPr>
        <w:pBdr>
          <w:bottom w:val="single" w:sz="12" w:space="1" w:color="auto"/>
        </w:pBdr>
      </w:pPr>
    </w:p>
    <w:p w:rsidR="00B4389E" w:rsidRDefault="00CD4F8D">
      <w:pPr>
        <w:pBdr>
          <w:bottom w:val="single" w:sz="6" w:space="1" w:color="auto"/>
        </w:pBdr>
        <w:jc w:val="center"/>
        <w:rPr>
          <w:sz w:val="28"/>
          <w:szCs w:val="28"/>
        </w:rPr>
      </w:pPr>
      <w:r>
        <w:rPr>
          <w:rFonts w:hint="eastAsia"/>
          <w:sz w:val="28"/>
          <w:szCs w:val="28"/>
        </w:rPr>
        <w:lastRenderedPageBreak/>
        <w:t>湖南省</w:t>
      </w:r>
      <w:r>
        <w:rPr>
          <w:sz w:val="28"/>
          <w:szCs w:val="28"/>
        </w:rPr>
        <w:t>教育厅办公室</w:t>
      </w:r>
      <w:r>
        <w:rPr>
          <w:rFonts w:hint="eastAsia"/>
          <w:sz w:val="28"/>
          <w:szCs w:val="28"/>
        </w:rPr>
        <w:t xml:space="preserve">            </w:t>
      </w:r>
      <w:r>
        <w:rPr>
          <w:sz w:val="28"/>
          <w:szCs w:val="28"/>
        </w:rPr>
        <w:t xml:space="preserve">         </w:t>
      </w:r>
      <w:r>
        <w:rPr>
          <w:rFonts w:hint="eastAsia"/>
          <w:sz w:val="28"/>
          <w:szCs w:val="28"/>
        </w:rPr>
        <w:t xml:space="preserve">    2018</w:t>
      </w:r>
      <w:r>
        <w:rPr>
          <w:rFonts w:hint="eastAsia"/>
          <w:sz w:val="28"/>
          <w:szCs w:val="28"/>
        </w:rPr>
        <w:t>年</w:t>
      </w:r>
      <w:r>
        <w:rPr>
          <w:rFonts w:hint="eastAsia"/>
          <w:sz w:val="28"/>
          <w:szCs w:val="28"/>
        </w:rPr>
        <w:t>1</w:t>
      </w:r>
      <w:r>
        <w:rPr>
          <w:rFonts w:hint="eastAsia"/>
          <w:sz w:val="28"/>
          <w:szCs w:val="28"/>
        </w:rPr>
        <w:t>月</w:t>
      </w:r>
      <w:r>
        <w:rPr>
          <w:rFonts w:hint="eastAsia"/>
          <w:sz w:val="28"/>
          <w:szCs w:val="28"/>
        </w:rPr>
        <w:t>5</w:t>
      </w:r>
      <w:r>
        <w:rPr>
          <w:rFonts w:hint="eastAsia"/>
          <w:sz w:val="28"/>
          <w:szCs w:val="28"/>
        </w:rPr>
        <w:t>日</w:t>
      </w:r>
      <w:r>
        <w:rPr>
          <w:sz w:val="28"/>
          <w:szCs w:val="28"/>
        </w:rPr>
        <w:t>印发</w:t>
      </w:r>
    </w:p>
    <w:p w:rsidR="00B4389E" w:rsidRDefault="00B4389E"/>
    <w:sectPr w:rsidR="00B4389E" w:rsidSect="00B4389E">
      <w:footerReference w:type="even" r:id="rId7"/>
      <w:footerReference w:type="default" r:id="rId8"/>
      <w:pgSz w:w="11906" w:h="16838"/>
      <w:pgMar w:top="1440" w:right="1797" w:bottom="1417" w:left="1797" w:header="851" w:footer="1247" w:gutter="0"/>
      <w:cols w:space="0"/>
      <w:docGrid w:type="linesAndChars" w:linePitch="634"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F8D" w:rsidRDefault="00CD4F8D" w:rsidP="00B4389E">
      <w:r>
        <w:separator/>
      </w:r>
    </w:p>
  </w:endnote>
  <w:endnote w:type="continuationSeparator" w:id="0">
    <w:p w:rsidR="00CD4F8D" w:rsidRDefault="00CD4F8D" w:rsidP="00B43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9E" w:rsidRDefault="00B4389E">
    <w:pPr>
      <w:pStyle w:val="a5"/>
      <w:framePr w:wrap="around" w:vAnchor="text" w:hAnchor="margin" w:xAlign="outside" w:y="1"/>
      <w:rPr>
        <w:rStyle w:val="a7"/>
      </w:rPr>
    </w:pPr>
    <w:r>
      <w:fldChar w:fldCharType="begin"/>
    </w:r>
    <w:r w:rsidR="00CD4F8D">
      <w:rPr>
        <w:rStyle w:val="a7"/>
      </w:rPr>
      <w:instrText xml:space="preserve">PAGE  </w:instrText>
    </w:r>
    <w:r>
      <w:fldChar w:fldCharType="end"/>
    </w:r>
  </w:p>
  <w:p w:rsidR="00B4389E" w:rsidRDefault="00B4389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9E" w:rsidRDefault="00CD4F8D">
    <w:pPr>
      <w:pStyle w:val="a5"/>
      <w:framePr w:w="943" w:wrap="around" w:vAnchor="text" w:hAnchor="margin" w:xAlign="outside" w:y="7"/>
      <w:rPr>
        <w:rStyle w:val="a7"/>
        <w:rFonts w:ascii="宋体" w:eastAsia="宋体" w:hAnsi="宋体"/>
        <w:sz w:val="28"/>
        <w:szCs w:val="28"/>
      </w:rPr>
    </w:pPr>
    <w:r>
      <w:rPr>
        <w:rStyle w:val="a7"/>
        <w:rFonts w:ascii="宋体" w:eastAsia="宋体" w:hAnsi="宋体" w:hint="eastAsia"/>
        <w:sz w:val="28"/>
        <w:szCs w:val="28"/>
      </w:rPr>
      <w:t>－</w:t>
    </w:r>
    <w:r w:rsidR="00B4389E">
      <w:rPr>
        <w:rFonts w:ascii="宋体" w:eastAsia="宋体" w:hAnsi="宋体"/>
        <w:sz w:val="28"/>
        <w:szCs w:val="28"/>
      </w:rPr>
      <w:fldChar w:fldCharType="begin"/>
    </w:r>
    <w:r>
      <w:rPr>
        <w:rStyle w:val="a7"/>
        <w:rFonts w:ascii="宋体" w:eastAsia="宋体" w:hAnsi="宋体"/>
        <w:sz w:val="28"/>
        <w:szCs w:val="28"/>
      </w:rPr>
      <w:instrText xml:space="preserve">PAGE  </w:instrText>
    </w:r>
    <w:r w:rsidR="00B4389E">
      <w:rPr>
        <w:rFonts w:ascii="宋体" w:eastAsia="宋体" w:hAnsi="宋体"/>
        <w:sz w:val="28"/>
        <w:szCs w:val="28"/>
      </w:rPr>
      <w:fldChar w:fldCharType="separate"/>
    </w:r>
    <w:r w:rsidR="006333B4">
      <w:rPr>
        <w:rStyle w:val="a7"/>
        <w:rFonts w:ascii="宋体" w:eastAsia="宋体" w:hAnsi="宋体"/>
        <w:noProof/>
        <w:sz w:val="28"/>
        <w:szCs w:val="28"/>
      </w:rPr>
      <w:t>1</w:t>
    </w:r>
    <w:r w:rsidR="00B4389E">
      <w:rPr>
        <w:rFonts w:ascii="宋体" w:eastAsia="宋体" w:hAnsi="宋体"/>
        <w:sz w:val="28"/>
        <w:szCs w:val="28"/>
      </w:rPr>
      <w:fldChar w:fldCharType="end"/>
    </w:r>
    <w:r>
      <w:rPr>
        <w:rStyle w:val="a7"/>
        <w:rFonts w:ascii="宋体" w:eastAsia="宋体" w:hAnsi="宋体" w:hint="eastAsia"/>
        <w:sz w:val="28"/>
        <w:szCs w:val="28"/>
      </w:rPr>
      <w:t>－</w:t>
    </w:r>
  </w:p>
  <w:p w:rsidR="00B4389E" w:rsidRDefault="00B4389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F8D" w:rsidRDefault="00CD4F8D" w:rsidP="00B4389E">
      <w:r>
        <w:separator/>
      </w:r>
    </w:p>
  </w:footnote>
  <w:footnote w:type="continuationSeparator" w:id="0">
    <w:p w:rsidR="00CD4F8D" w:rsidRDefault="00CD4F8D" w:rsidP="00B438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proofState w:spelling="clean"/>
  <w:defaultTabStop w:val="420"/>
  <w:drawingGridHorizontalSpacing w:val="299"/>
  <w:drawingGridVerticalSpacing w:val="317"/>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001D01C2"/>
    <w:rsid w:val="00000947"/>
    <w:rsid w:val="00003BED"/>
    <w:rsid w:val="000074F4"/>
    <w:rsid w:val="000075E7"/>
    <w:rsid w:val="00011631"/>
    <w:rsid w:val="0001166A"/>
    <w:rsid w:val="000266C2"/>
    <w:rsid w:val="00031E7C"/>
    <w:rsid w:val="00036C6A"/>
    <w:rsid w:val="000373A2"/>
    <w:rsid w:val="00040CCD"/>
    <w:rsid w:val="000416CA"/>
    <w:rsid w:val="000452B4"/>
    <w:rsid w:val="00051A42"/>
    <w:rsid w:val="000535E2"/>
    <w:rsid w:val="000541EA"/>
    <w:rsid w:val="00056773"/>
    <w:rsid w:val="00056AF9"/>
    <w:rsid w:val="00070FC9"/>
    <w:rsid w:val="0007323D"/>
    <w:rsid w:val="00073C5D"/>
    <w:rsid w:val="00073E4B"/>
    <w:rsid w:val="00075E71"/>
    <w:rsid w:val="00076333"/>
    <w:rsid w:val="0008360C"/>
    <w:rsid w:val="000847F6"/>
    <w:rsid w:val="00085681"/>
    <w:rsid w:val="00085C62"/>
    <w:rsid w:val="00087C41"/>
    <w:rsid w:val="0009105A"/>
    <w:rsid w:val="00097080"/>
    <w:rsid w:val="000A465C"/>
    <w:rsid w:val="000A5C50"/>
    <w:rsid w:val="000B567D"/>
    <w:rsid w:val="000B712A"/>
    <w:rsid w:val="000C6D15"/>
    <w:rsid w:val="000C7F20"/>
    <w:rsid w:val="000D69C2"/>
    <w:rsid w:val="000D7CBA"/>
    <w:rsid w:val="000F2D8C"/>
    <w:rsid w:val="000F3258"/>
    <w:rsid w:val="00113590"/>
    <w:rsid w:val="00121921"/>
    <w:rsid w:val="00123192"/>
    <w:rsid w:val="00123246"/>
    <w:rsid w:val="0012359A"/>
    <w:rsid w:val="00126AAF"/>
    <w:rsid w:val="00135088"/>
    <w:rsid w:val="00136E3B"/>
    <w:rsid w:val="0013775A"/>
    <w:rsid w:val="00142482"/>
    <w:rsid w:val="00145158"/>
    <w:rsid w:val="00146DE5"/>
    <w:rsid w:val="0015158D"/>
    <w:rsid w:val="0015190D"/>
    <w:rsid w:val="00156121"/>
    <w:rsid w:val="00164254"/>
    <w:rsid w:val="00164995"/>
    <w:rsid w:val="00165C3F"/>
    <w:rsid w:val="00166B57"/>
    <w:rsid w:val="00170A47"/>
    <w:rsid w:val="00173C7C"/>
    <w:rsid w:val="00193B0C"/>
    <w:rsid w:val="00194FF5"/>
    <w:rsid w:val="00195560"/>
    <w:rsid w:val="001A0520"/>
    <w:rsid w:val="001A2144"/>
    <w:rsid w:val="001A2710"/>
    <w:rsid w:val="001B39D1"/>
    <w:rsid w:val="001B6E4C"/>
    <w:rsid w:val="001B71F1"/>
    <w:rsid w:val="001B7465"/>
    <w:rsid w:val="001C5C3A"/>
    <w:rsid w:val="001D01C2"/>
    <w:rsid w:val="001D1DFF"/>
    <w:rsid w:val="001D4C07"/>
    <w:rsid w:val="001E1FDD"/>
    <w:rsid w:val="001E3714"/>
    <w:rsid w:val="001E7EB1"/>
    <w:rsid w:val="001F1D91"/>
    <w:rsid w:val="001F5C89"/>
    <w:rsid w:val="0020240D"/>
    <w:rsid w:val="00212358"/>
    <w:rsid w:val="00215934"/>
    <w:rsid w:val="00215D42"/>
    <w:rsid w:val="002167D6"/>
    <w:rsid w:val="00216857"/>
    <w:rsid w:val="002172F9"/>
    <w:rsid w:val="0022147D"/>
    <w:rsid w:val="00221CFE"/>
    <w:rsid w:val="00225164"/>
    <w:rsid w:val="0022629F"/>
    <w:rsid w:val="00227558"/>
    <w:rsid w:val="0023132A"/>
    <w:rsid w:val="00233620"/>
    <w:rsid w:val="0023477F"/>
    <w:rsid w:val="002541AB"/>
    <w:rsid w:val="0025421F"/>
    <w:rsid w:val="0025526D"/>
    <w:rsid w:val="00255EB0"/>
    <w:rsid w:val="00256E4E"/>
    <w:rsid w:val="002603A1"/>
    <w:rsid w:val="00266FD3"/>
    <w:rsid w:val="00267895"/>
    <w:rsid w:val="002713DE"/>
    <w:rsid w:val="00277580"/>
    <w:rsid w:val="002816CF"/>
    <w:rsid w:val="00283A74"/>
    <w:rsid w:val="0028652D"/>
    <w:rsid w:val="002902F0"/>
    <w:rsid w:val="00292A2D"/>
    <w:rsid w:val="002936E6"/>
    <w:rsid w:val="002964FE"/>
    <w:rsid w:val="002A7C87"/>
    <w:rsid w:val="002B2998"/>
    <w:rsid w:val="002B2B1E"/>
    <w:rsid w:val="002B3422"/>
    <w:rsid w:val="002B48F3"/>
    <w:rsid w:val="002B51C1"/>
    <w:rsid w:val="002C2AFE"/>
    <w:rsid w:val="002D4CB0"/>
    <w:rsid w:val="002E2450"/>
    <w:rsid w:val="003076D4"/>
    <w:rsid w:val="00310102"/>
    <w:rsid w:val="00310A60"/>
    <w:rsid w:val="00316F81"/>
    <w:rsid w:val="00336A56"/>
    <w:rsid w:val="00341877"/>
    <w:rsid w:val="0034704B"/>
    <w:rsid w:val="00350EF2"/>
    <w:rsid w:val="00351671"/>
    <w:rsid w:val="003534E0"/>
    <w:rsid w:val="00353CE6"/>
    <w:rsid w:val="00355C33"/>
    <w:rsid w:val="00360016"/>
    <w:rsid w:val="00366DA5"/>
    <w:rsid w:val="003729E2"/>
    <w:rsid w:val="003749F1"/>
    <w:rsid w:val="0038335E"/>
    <w:rsid w:val="003857A7"/>
    <w:rsid w:val="00390773"/>
    <w:rsid w:val="003A2FA8"/>
    <w:rsid w:val="003A4695"/>
    <w:rsid w:val="003B5298"/>
    <w:rsid w:val="003C172A"/>
    <w:rsid w:val="003C5665"/>
    <w:rsid w:val="003C727D"/>
    <w:rsid w:val="003D3212"/>
    <w:rsid w:val="003E2F74"/>
    <w:rsid w:val="00405CED"/>
    <w:rsid w:val="004217EC"/>
    <w:rsid w:val="00425240"/>
    <w:rsid w:val="004313FF"/>
    <w:rsid w:val="00437345"/>
    <w:rsid w:val="00437EF9"/>
    <w:rsid w:val="00442A4F"/>
    <w:rsid w:val="00446976"/>
    <w:rsid w:val="0045139D"/>
    <w:rsid w:val="00452136"/>
    <w:rsid w:val="0045637B"/>
    <w:rsid w:val="004613A2"/>
    <w:rsid w:val="004628C0"/>
    <w:rsid w:val="004653D6"/>
    <w:rsid w:val="004731CF"/>
    <w:rsid w:val="004757BF"/>
    <w:rsid w:val="004829A0"/>
    <w:rsid w:val="004920E1"/>
    <w:rsid w:val="00493FA0"/>
    <w:rsid w:val="00494A01"/>
    <w:rsid w:val="004A0CB0"/>
    <w:rsid w:val="004A53C0"/>
    <w:rsid w:val="004A7672"/>
    <w:rsid w:val="004A7AAF"/>
    <w:rsid w:val="004B00F1"/>
    <w:rsid w:val="004B4298"/>
    <w:rsid w:val="004B5570"/>
    <w:rsid w:val="004B66BF"/>
    <w:rsid w:val="004D3628"/>
    <w:rsid w:val="004E5522"/>
    <w:rsid w:val="004E5BAD"/>
    <w:rsid w:val="004E722F"/>
    <w:rsid w:val="004F79EF"/>
    <w:rsid w:val="0050105F"/>
    <w:rsid w:val="00502470"/>
    <w:rsid w:val="00502FF3"/>
    <w:rsid w:val="00503242"/>
    <w:rsid w:val="00523ACE"/>
    <w:rsid w:val="00524E14"/>
    <w:rsid w:val="00527B8D"/>
    <w:rsid w:val="005303E1"/>
    <w:rsid w:val="00530539"/>
    <w:rsid w:val="00531D64"/>
    <w:rsid w:val="005368EC"/>
    <w:rsid w:val="00543BB6"/>
    <w:rsid w:val="00546015"/>
    <w:rsid w:val="00547C88"/>
    <w:rsid w:val="005527D3"/>
    <w:rsid w:val="005540DB"/>
    <w:rsid w:val="005567FC"/>
    <w:rsid w:val="005658FF"/>
    <w:rsid w:val="00570A7E"/>
    <w:rsid w:val="00571606"/>
    <w:rsid w:val="00586304"/>
    <w:rsid w:val="00590595"/>
    <w:rsid w:val="005C3284"/>
    <w:rsid w:val="005E11C6"/>
    <w:rsid w:val="005E1F78"/>
    <w:rsid w:val="005E39A4"/>
    <w:rsid w:val="005E4BC7"/>
    <w:rsid w:val="005E55BF"/>
    <w:rsid w:val="005E5711"/>
    <w:rsid w:val="005F182E"/>
    <w:rsid w:val="005F21F4"/>
    <w:rsid w:val="00600237"/>
    <w:rsid w:val="0061168A"/>
    <w:rsid w:val="00611ACE"/>
    <w:rsid w:val="00620EDD"/>
    <w:rsid w:val="006235D7"/>
    <w:rsid w:val="00627742"/>
    <w:rsid w:val="006333B4"/>
    <w:rsid w:val="00635B91"/>
    <w:rsid w:val="006377AF"/>
    <w:rsid w:val="006379AA"/>
    <w:rsid w:val="00642EB0"/>
    <w:rsid w:val="00646AD5"/>
    <w:rsid w:val="00650358"/>
    <w:rsid w:val="0065127B"/>
    <w:rsid w:val="00655DDB"/>
    <w:rsid w:val="006574B2"/>
    <w:rsid w:val="00661D7B"/>
    <w:rsid w:val="00662062"/>
    <w:rsid w:val="00665DE6"/>
    <w:rsid w:val="0066791A"/>
    <w:rsid w:val="00671330"/>
    <w:rsid w:val="00672B96"/>
    <w:rsid w:val="00684079"/>
    <w:rsid w:val="00685C93"/>
    <w:rsid w:val="006871E0"/>
    <w:rsid w:val="00690BA8"/>
    <w:rsid w:val="00694291"/>
    <w:rsid w:val="006A1397"/>
    <w:rsid w:val="006A2894"/>
    <w:rsid w:val="006A28A2"/>
    <w:rsid w:val="006A6B7F"/>
    <w:rsid w:val="006B2080"/>
    <w:rsid w:val="006B5593"/>
    <w:rsid w:val="006C78EF"/>
    <w:rsid w:val="006D2BFF"/>
    <w:rsid w:val="007120C5"/>
    <w:rsid w:val="00716A15"/>
    <w:rsid w:val="00721AEB"/>
    <w:rsid w:val="007406B5"/>
    <w:rsid w:val="007431AA"/>
    <w:rsid w:val="007442D5"/>
    <w:rsid w:val="00752D9C"/>
    <w:rsid w:val="00763CFC"/>
    <w:rsid w:val="00776485"/>
    <w:rsid w:val="007842DE"/>
    <w:rsid w:val="00784489"/>
    <w:rsid w:val="00787DDE"/>
    <w:rsid w:val="00792D01"/>
    <w:rsid w:val="007933A3"/>
    <w:rsid w:val="00797681"/>
    <w:rsid w:val="007A084A"/>
    <w:rsid w:val="007A1CF1"/>
    <w:rsid w:val="007A3A5B"/>
    <w:rsid w:val="007A400B"/>
    <w:rsid w:val="007A49AC"/>
    <w:rsid w:val="007B1CDD"/>
    <w:rsid w:val="007B396B"/>
    <w:rsid w:val="007B6E8F"/>
    <w:rsid w:val="007C4637"/>
    <w:rsid w:val="007C5F30"/>
    <w:rsid w:val="007D4543"/>
    <w:rsid w:val="007D76D3"/>
    <w:rsid w:val="00803B59"/>
    <w:rsid w:val="008050E2"/>
    <w:rsid w:val="00805478"/>
    <w:rsid w:val="008110B1"/>
    <w:rsid w:val="0081476A"/>
    <w:rsid w:val="0081558E"/>
    <w:rsid w:val="00821E22"/>
    <w:rsid w:val="00825AB7"/>
    <w:rsid w:val="008309C9"/>
    <w:rsid w:val="00830A41"/>
    <w:rsid w:val="00836611"/>
    <w:rsid w:val="00836CBB"/>
    <w:rsid w:val="008439ED"/>
    <w:rsid w:val="00843BA8"/>
    <w:rsid w:val="008514D9"/>
    <w:rsid w:val="008601E9"/>
    <w:rsid w:val="00867376"/>
    <w:rsid w:val="00873ECC"/>
    <w:rsid w:val="00897CD6"/>
    <w:rsid w:val="008A46DF"/>
    <w:rsid w:val="008A67AE"/>
    <w:rsid w:val="008B0632"/>
    <w:rsid w:val="008B5B95"/>
    <w:rsid w:val="008C6EC5"/>
    <w:rsid w:val="008D4768"/>
    <w:rsid w:val="008D69C3"/>
    <w:rsid w:val="008D6F30"/>
    <w:rsid w:val="008E0A54"/>
    <w:rsid w:val="008E5223"/>
    <w:rsid w:val="008F2B00"/>
    <w:rsid w:val="00903539"/>
    <w:rsid w:val="009059C8"/>
    <w:rsid w:val="009066F9"/>
    <w:rsid w:val="00907B38"/>
    <w:rsid w:val="00912CD3"/>
    <w:rsid w:val="009139A7"/>
    <w:rsid w:val="0091582D"/>
    <w:rsid w:val="00920989"/>
    <w:rsid w:val="0092150B"/>
    <w:rsid w:val="00925195"/>
    <w:rsid w:val="0092560C"/>
    <w:rsid w:val="0093214E"/>
    <w:rsid w:val="009412E3"/>
    <w:rsid w:val="0094370E"/>
    <w:rsid w:val="0094577F"/>
    <w:rsid w:val="00947C31"/>
    <w:rsid w:val="00950172"/>
    <w:rsid w:val="00950933"/>
    <w:rsid w:val="00950F84"/>
    <w:rsid w:val="0095193A"/>
    <w:rsid w:val="009521DB"/>
    <w:rsid w:val="009525AD"/>
    <w:rsid w:val="00955CCA"/>
    <w:rsid w:val="009678AF"/>
    <w:rsid w:val="00970A96"/>
    <w:rsid w:val="00974C0B"/>
    <w:rsid w:val="00975E31"/>
    <w:rsid w:val="00986757"/>
    <w:rsid w:val="00987BB3"/>
    <w:rsid w:val="00992398"/>
    <w:rsid w:val="00995D7F"/>
    <w:rsid w:val="009A3FB7"/>
    <w:rsid w:val="009A7A41"/>
    <w:rsid w:val="009B12EF"/>
    <w:rsid w:val="009B5BD4"/>
    <w:rsid w:val="009C00EC"/>
    <w:rsid w:val="009C1DCF"/>
    <w:rsid w:val="009F08B5"/>
    <w:rsid w:val="00A03D0F"/>
    <w:rsid w:val="00A072D9"/>
    <w:rsid w:val="00A20A0B"/>
    <w:rsid w:val="00A2124C"/>
    <w:rsid w:val="00A23720"/>
    <w:rsid w:val="00A27D36"/>
    <w:rsid w:val="00A508B9"/>
    <w:rsid w:val="00A558E2"/>
    <w:rsid w:val="00A645E1"/>
    <w:rsid w:val="00A70FC2"/>
    <w:rsid w:val="00A76BDC"/>
    <w:rsid w:val="00A77572"/>
    <w:rsid w:val="00A8007A"/>
    <w:rsid w:val="00A86831"/>
    <w:rsid w:val="00A938F7"/>
    <w:rsid w:val="00A955BE"/>
    <w:rsid w:val="00AA5A72"/>
    <w:rsid w:val="00AB31B8"/>
    <w:rsid w:val="00AB576F"/>
    <w:rsid w:val="00AE51B3"/>
    <w:rsid w:val="00AE67A6"/>
    <w:rsid w:val="00AE759F"/>
    <w:rsid w:val="00AE7601"/>
    <w:rsid w:val="00AF2F86"/>
    <w:rsid w:val="00B116C4"/>
    <w:rsid w:val="00B130EA"/>
    <w:rsid w:val="00B1640F"/>
    <w:rsid w:val="00B20290"/>
    <w:rsid w:val="00B25476"/>
    <w:rsid w:val="00B2770D"/>
    <w:rsid w:val="00B311AA"/>
    <w:rsid w:val="00B3163F"/>
    <w:rsid w:val="00B3172F"/>
    <w:rsid w:val="00B31C66"/>
    <w:rsid w:val="00B321B9"/>
    <w:rsid w:val="00B37A16"/>
    <w:rsid w:val="00B4389E"/>
    <w:rsid w:val="00B51A3F"/>
    <w:rsid w:val="00B6503F"/>
    <w:rsid w:val="00B66911"/>
    <w:rsid w:val="00B66DF9"/>
    <w:rsid w:val="00B74674"/>
    <w:rsid w:val="00B821A8"/>
    <w:rsid w:val="00B822CA"/>
    <w:rsid w:val="00B85B54"/>
    <w:rsid w:val="00B94426"/>
    <w:rsid w:val="00B95BBC"/>
    <w:rsid w:val="00B9646F"/>
    <w:rsid w:val="00BA4AFA"/>
    <w:rsid w:val="00BB25FA"/>
    <w:rsid w:val="00BB2E23"/>
    <w:rsid w:val="00BB4B54"/>
    <w:rsid w:val="00BC032F"/>
    <w:rsid w:val="00BC347B"/>
    <w:rsid w:val="00BC3AEB"/>
    <w:rsid w:val="00BC4B8B"/>
    <w:rsid w:val="00BD0911"/>
    <w:rsid w:val="00BE2997"/>
    <w:rsid w:val="00BF4004"/>
    <w:rsid w:val="00BF5E21"/>
    <w:rsid w:val="00C018B0"/>
    <w:rsid w:val="00C040F2"/>
    <w:rsid w:val="00C05CDD"/>
    <w:rsid w:val="00C05EB8"/>
    <w:rsid w:val="00C12346"/>
    <w:rsid w:val="00C13455"/>
    <w:rsid w:val="00C22163"/>
    <w:rsid w:val="00C237A2"/>
    <w:rsid w:val="00C30463"/>
    <w:rsid w:val="00C34B57"/>
    <w:rsid w:val="00C355BF"/>
    <w:rsid w:val="00C416DB"/>
    <w:rsid w:val="00C42BA6"/>
    <w:rsid w:val="00C4339B"/>
    <w:rsid w:val="00C469A7"/>
    <w:rsid w:val="00C5214C"/>
    <w:rsid w:val="00C57F8D"/>
    <w:rsid w:val="00C60734"/>
    <w:rsid w:val="00C612E2"/>
    <w:rsid w:val="00C70691"/>
    <w:rsid w:val="00C82A54"/>
    <w:rsid w:val="00C83BB7"/>
    <w:rsid w:val="00C84689"/>
    <w:rsid w:val="00C862E5"/>
    <w:rsid w:val="00C96392"/>
    <w:rsid w:val="00C966B9"/>
    <w:rsid w:val="00CA0236"/>
    <w:rsid w:val="00CA60F3"/>
    <w:rsid w:val="00CB27BA"/>
    <w:rsid w:val="00CB5320"/>
    <w:rsid w:val="00CC5960"/>
    <w:rsid w:val="00CD4F8D"/>
    <w:rsid w:val="00CD5600"/>
    <w:rsid w:val="00D02C7D"/>
    <w:rsid w:val="00D040DF"/>
    <w:rsid w:val="00D077B1"/>
    <w:rsid w:val="00D102DD"/>
    <w:rsid w:val="00D15E14"/>
    <w:rsid w:val="00D17763"/>
    <w:rsid w:val="00D2353F"/>
    <w:rsid w:val="00D32A43"/>
    <w:rsid w:val="00D3317A"/>
    <w:rsid w:val="00D42880"/>
    <w:rsid w:val="00D43E0E"/>
    <w:rsid w:val="00D44E85"/>
    <w:rsid w:val="00D50902"/>
    <w:rsid w:val="00D52FB8"/>
    <w:rsid w:val="00D610CB"/>
    <w:rsid w:val="00D646E5"/>
    <w:rsid w:val="00D67975"/>
    <w:rsid w:val="00D70240"/>
    <w:rsid w:val="00D71150"/>
    <w:rsid w:val="00D77FFA"/>
    <w:rsid w:val="00D8508D"/>
    <w:rsid w:val="00D911F6"/>
    <w:rsid w:val="00D92B36"/>
    <w:rsid w:val="00D95605"/>
    <w:rsid w:val="00DA31D9"/>
    <w:rsid w:val="00DA7D43"/>
    <w:rsid w:val="00DB26F0"/>
    <w:rsid w:val="00DB6807"/>
    <w:rsid w:val="00DC7B0D"/>
    <w:rsid w:val="00DD0078"/>
    <w:rsid w:val="00DD2429"/>
    <w:rsid w:val="00DD2825"/>
    <w:rsid w:val="00DE2B24"/>
    <w:rsid w:val="00DE775A"/>
    <w:rsid w:val="00DF0109"/>
    <w:rsid w:val="00DF3FE0"/>
    <w:rsid w:val="00DF7CBD"/>
    <w:rsid w:val="00E019AD"/>
    <w:rsid w:val="00E024ED"/>
    <w:rsid w:val="00E06EEF"/>
    <w:rsid w:val="00E1000F"/>
    <w:rsid w:val="00E1205A"/>
    <w:rsid w:val="00E14734"/>
    <w:rsid w:val="00E14980"/>
    <w:rsid w:val="00E15B04"/>
    <w:rsid w:val="00E1691E"/>
    <w:rsid w:val="00E22F92"/>
    <w:rsid w:val="00E235CB"/>
    <w:rsid w:val="00E33A4A"/>
    <w:rsid w:val="00E36A92"/>
    <w:rsid w:val="00E4214A"/>
    <w:rsid w:val="00E43F4A"/>
    <w:rsid w:val="00E44267"/>
    <w:rsid w:val="00E46078"/>
    <w:rsid w:val="00E51344"/>
    <w:rsid w:val="00E55E13"/>
    <w:rsid w:val="00E67531"/>
    <w:rsid w:val="00E71450"/>
    <w:rsid w:val="00E72ED0"/>
    <w:rsid w:val="00E80F3C"/>
    <w:rsid w:val="00E81C9F"/>
    <w:rsid w:val="00E81D4C"/>
    <w:rsid w:val="00E84A8E"/>
    <w:rsid w:val="00E95B8B"/>
    <w:rsid w:val="00E9644D"/>
    <w:rsid w:val="00EB2B9B"/>
    <w:rsid w:val="00EB574A"/>
    <w:rsid w:val="00EB5F50"/>
    <w:rsid w:val="00EC73FF"/>
    <w:rsid w:val="00EC7764"/>
    <w:rsid w:val="00ED1819"/>
    <w:rsid w:val="00ED2362"/>
    <w:rsid w:val="00ED352F"/>
    <w:rsid w:val="00ED7C21"/>
    <w:rsid w:val="00EE3307"/>
    <w:rsid w:val="00EE3C7F"/>
    <w:rsid w:val="00EE40DF"/>
    <w:rsid w:val="00EE4D8D"/>
    <w:rsid w:val="00EF2CDA"/>
    <w:rsid w:val="00EF4028"/>
    <w:rsid w:val="00EF4363"/>
    <w:rsid w:val="00EF7700"/>
    <w:rsid w:val="00F008D6"/>
    <w:rsid w:val="00F02399"/>
    <w:rsid w:val="00F170C9"/>
    <w:rsid w:val="00F26C45"/>
    <w:rsid w:val="00F30F11"/>
    <w:rsid w:val="00F33EF5"/>
    <w:rsid w:val="00F348EA"/>
    <w:rsid w:val="00F40921"/>
    <w:rsid w:val="00F457C5"/>
    <w:rsid w:val="00F57DDD"/>
    <w:rsid w:val="00F62C58"/>
    <w:rsid w:val="00F75055"/>
    <w:rsid w:val="00F92355"/>
    <w:rsid w:val="00F94565"/>
    <w:rsid w:val="00F94B1E"/>
    <w:rsid w:val="00FB5363"/>
    <w:rsid w:val="00FC0D39"/>
    <w:rsid w:val="00FC1C2D"/>
    <w:rsid w:val="00FC45A6"/>
    <w:rsid w:val="00FC6745"/>
    <w:rsid w:val="00FD2F0D"/>
    <w:rsid w:val="00FD6995"/>
    <w:rsid w:val="00FF5AF7"/>
    <w:rsid w:val="03913766"/>
    <w:rsid w:val="042C1C7B"/>
    <w:rsid w:val="064E7348"/>
    <w:rsid w:val="08DF4E46"/>
    <w:rsid w:val="0B2A7D9F"/>
    <w:rsid w:val="0CA46D88"/>
    <w:rsid w:val="0CBE14E3"/>
    <w:rsid w:val="0DB62D7A"/>
    <w:rsid w:val="0DC63278"/>
    <w:rsid w:val="113D0D46"/>
    <w:rsid w:val="17744CE8"/>
    <w:rsid w:val="1A27673B"/>
    <w:rsid w:val="1D3A2542"/>
    <w:rsid w:val="22F6197D"/>
    <w:rsid w:val="2348643B"/>
    <w:rsid w:val="2AE81497"/>
    <w:rsid w:val="2FCB2D81"/>
    <w:rsid w:val="3A1976E0"/>
    <w:rsid w:val="3A2A36E4"/>
    <w:rsid w:val="3AC54BEE"/>
    <w:rsid w:val="3B6D478E"/>
    <w:rsid w:val="3BAC06DF"/>
    <w:rsid w:val="3BB41867"/>
    <w:rsid w:val="3DAB6875"/>
    <w:rsid w:val="3E535613"/>
    <w:rsid w:val="3EB86474"/>
    <w:rsid w:val="41336B88"/>
    <w:rsid w:val="46D2031D"/>
    <w:rsid w:val="479825EC"/>
    <w:rsid w:val="488B619B"/>
    <w:rsid w:val="49393E1C"/>
    <w:rsid w:val="4B691746"/>
    <w:rsid w:val="4E4A17FE"/>
    <w:rsid w:val="51085E7F"/>
    <w:rsid w:val="51434349"/>
    <w:rsid w:val="51F7378D"/>
    <w:rsid w:val="5445084F"/>
    <w:rsid w:val="5B5B6953"/>
    <w:rsid w:val="5BBF2280"/>
    <w:rsid w:val="5BC344A5"/>
    <w:rsid w:val="5DC52477"/>
    <w:rsid w:val="5DFE524C"/>
    <w:rsid w:val="61644155"/>
    <w:rsid w:val="61F76DC2"/>
    <w:rsid w:val="62E47AC9"/>
    <w:rsid w:val="63CD43AE"/>
    <w:rsid w:val="64424DF4"/>
    <w:rsid w:val="6536235F"/>
    <w:rsid w:val="667C18AF"/>
    <w:rsid w:val="69903920"/>
    <w:rsid w:val="6B050241"/>
    <w:rsid w:val="6B6D624F"/>
    <w:rsid w:val="6C9627BC"/>
    <w:rsid w:val="6E1F577D"/>
    <w:rsid w:val="6E93117E"/>
    <w:rsid w:val="705E5CE7"/>
    <w:rsid w:val="70DD2C3C"/>
    <w:rsid w:val="77A1504F"/>
    <w:rsid w:val="7AD7503F"/>
    <w:rsid w:val="7CDA1DE4"/>
    <w:rsid w:val="7DBC3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Default Paragraph Font" w:semiHidden="1" w:uiPriority="1" w:unhideWhenUsed="1"/>
    <w:lsdException w:name="Body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89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4389E"/>
    <w:pPr>
      <w:autoSpaceDE w:val="0"/>
      <w:autoSpaceDN w:val="0"/>
      <w:adjustRightInd w:val="0"/>
      <w:snapToGrid w:val="0"/>
      <w:spacing w:line="580" w:lineRule="exact"/>
      <w:textAlignment w:val="baseline"/>
    </w:pPr>
    <w:rPr>
      <w:rFonts w:ascii="仿宋_GB2312"/>
      <w:spacing w:val="-20"/>
      <w:kern w:val="0"/>
      <w:szCs w:val="20"/>
    </w:rPr>
  </w:style>
  <w:style w:type="paragraph" w:styleId="a4">
    <w:name w:val="Date"/>
    <w:basedOn w:val="a"/>
    <w:next w:val="a"/>
    <w:link w:val="Char"/>
    <w:rsid w:val="00B4389E"/>
    <w:pPr>
      <w:ind w:leftChars="2500" w:left="100"/>
    </w:pPr>
  </w:style>
  <w:style w:type="paragraph" w:styleId="a5">
    <w:name w:val="footer"/>
    <w:basedOn w:val="a"/>
    <w:rsid w:val="00B4389E"/>
    <w:pPr>
      <w:tabs>
        <w:tab w:val="center" w:pos="4153"/>
        <w:tab w:val="right" w:pos="8306"/>
      </w:tabs>
      <w:snapToGrid w:val="0"/>
      <w:jc w:val="left"/>
    </w:pPr>
    <w:rPr>
      <w:sz w:val="18"/>
      <w:szCs w:val="18"/>
    </w:rPr>
  </w:style>
  <w:style w:type="paragraph" w:styleId="a6">
    <w:name w:val="header"/>
    <w:basedOn w:val="a"/>
    <w:link w:val="Char0"/>
    <w:rsid w:val="00B4389E"/>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B4389E"/>
  </w:style>
  <w:style w:type="character" w:styleId="a8">
    <w:name w:val="Hyperlink"/>
    <w:basedOn w:val="a0"/>
    <w:rsid w:val="00B4389E"/>
    <w:rPr>
      <w:color w:val="0000FF"/>
      <w:u w:val="single"/>
    </w:rPr>
  </w:style>
  <w:style w:type="paragraph" w:customStyle="1" w:styleId="Style14">
    <w:name w:val="Style14"/>
    <w:basedOn w:val="a"/>
    <w:rsid w:val="00B4389E"/>
    <w:pPr>
      <w:spacing w:line="605" w:lineRule="exact"/>
      <w:ind w:firstLine="641"/>
    </w:pPr>
    <w:rPr>
      <w:rFonts w:hint="eastAsia"/>
    </w:rPr>
  </w:style>
  <w:style w:type="character" w:customStyle="1" w:styleId="FontStyle31">
    <w:name w:val="Font Style31"/>
    <w:basedOn w:val="a0"/>
    <w:rsid w:val="00B4389E"/>
    <w:rPr>
      <w:rFonts w:ascii="黑体" w:eastAsia="黑体" w:hint="eastAsia"/>
      <w:sz w:val="30"/>
    </w:rPr>
  </w:style>
  <w:style w:type="character" w:customStyle="1" w:styleId="Char0">
    <w:name w:val="页眉 Char"/>
    <w:basedOn w:val="a0"/>
    <w:link w:val="a6"/>
    <w:rsid w:val="00B4389E"/>
    <w:rPr>
      <w:rFonts w:eastAsia="仿宋_GB2312"/>
      <w:kern w:val="2"/>
      <w:sz w:val="18"/>
      <w:szCs w:val="18"/>
    </w:rPr>
  </w:style>
  <w:style w:type="character" w:customStyle="1" w:styleId="Char">
    <w:name w:val="日期 Char"/>
    <w:basedOn w:val="a0"/>
    <w:link w:val="a4"/>
    <w:rsid w:val="00B4389E"/>
    <w:rPr>
      <w:rFonts w:eastAsia="仿宋_GB2312"/>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636</Words>
  <Characters>3627</Characters>
  <Application>Microsoft Office Word</Application>
  <DocSecurity>0</DocSecurity>
  <Lines>30</Lines>
  <Paragraphs>8</Paragraphs>
  <ScaleCrop>false</ScaleCrop>
  <Company>jyt</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湖南省教育厅</dc:title>
  <dc:creator>gao</dc:creator>
  <cp:lastModifiedBy>Administrator</cp:lastModifiedBy>
  <cp:revision>2</cp:revision>
  <cp:lastPrinted>2018-01-05T03:44:00Z</cp:lastPrinted>
  <dcterms:created xsi:type="dcterms:W3CDTF">2018-01-17T02:13:00Z</dcterms:created>
  <dcterms:modified xsi:type="dcterms:W3CDTF">2018-01-17T02:13:00Z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