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仿宋_GB2312"/>
          <w:sz w:val="28"/>
        </w:rPr>
      </w:pPr>
      <w:r>
        <w:rPr>
          <w:rFonts w:eastAsia="仿宋_GB2312"/>
          <w:sz w:val="32"/>
          <w:szCs w:val="32"/>
        </w:rPr>
        <w:t>HNPR-202</w:t>
      </w:r>
      <w:r>
        <w:rPr>
          <w:rFonts w:hint="eastAsia" w:eastAsia="仿宋_GB2312"/>
          <w:sz w:val="32"/>
          <w:szCs w:val="32"/>
        </w:rPr>
        <w:t>3</w:t>
      </w:r>
      <w:r>
        <w:rPr>
          <w:rFonts w:eastAsia="仿宋_GB2312"/>
          <w:sz w:val="32"/>
          <w:szCs w:val="32"/>
        </w:rPr>
        <w:t>-150</w:t>
      </w:r>
      <w:r>
        <w:rPr>
          <w:rFonts w:hint="eastAsia" w:eastAsia="仿宋_GB2312"/>
          <w:sz w:val="32"/>
          <w:szCs w:val="32"/>
        </w:rPr>
        <w:t>14</w:t>
      </w:r>
    </w:p>
    <w:p>
      <w:pPr>
        <w:jc w:val="center"/>
        <w:rPr>
          <w:rFonts w:ascii="仿宋_GB2312" w:eastAsia="仿宋_GB2312"/>
          <w:sz w:val="28"/>
        </w:rPr>
      </w:pPr>
    </w:p>
    <w:p>
      <w:pPr>
        <w:jc w:val="center"/>
        <w:rPr>
          <w:rFonts w:ascii="仿宋_GB2312" w:eastAsia="仿宋_GB2312"/>
          <w:sz w:val="28"/>
        </w:rPr>
      </w:pPr>
    </w:p>
    <w:p>
      <w:pPr>
        <w:jc w:val="center"/>
        <w:rPr>
          <w:rFonts w:ascii="仿宋_GB2312" w:eastAsia="仿宋_GB2312"/>
          <w:sz w:val="28"/>
        </w:rPr>
      </w:pPr>
      <w:bookmarkStart w:id="0" w:name="_GoBack"/>
      <w:bookmarkEnd w:id="0"/>
    </w:p>
    <w:p>
      <w:pPr>
        <w:jc w:val="center"/>
        <w:rPr>
          <w:rFonts w:ascii="仿宋_GB2312" w:eastAsia="仿宋_GB2312"/>
          <w:sz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 w:val="28"/>
        </w:rPr>
      </w:pPr>
    </w:p>
    <w:p>
      <w:pPr>
        <w:jc w:val="center"/>
        <w:rPr>
          <w:rFonts w:ascii="仿宋_GB2312" w:eastAsia="仿宋_GB2312"/>
          <w:sz w:val="32"/>
        </w:rPr>
      </w:pPr>
      <w:r>
        <w:rPr>
          <w:rFonts w:hint="eastAsia" w:ascii="仿宋_GB2312" w:eastAsia="仿宋_GB2312"/>
          <w:sz w:val="32"/>
        </w:rPr>
        <w:t>湘交养管规〔2023〕14号</w:t>
      </w:r>
    </w:p>
    <w:p>
      <w:pPr>
        <w:spacing w:line="440" w:lineRule="exact"/>
        <w:jc w:val="center"/>
        <w:rPr>
          <w:rFonts w:ascii="仿宋_GB2312" w:eastAsia="仿宋_GB2312"/>
          <w:sz w:val="24"/>
        </w:rPr>
      </w:pPr>
    </w:p>
    <w:p>
      <w:pPr>
        <w:adjustRightInd w:val="0"/>
        <w:snapToGrid w:val="0"/>
        <w:spacing w:line="440" w:lineRule="exact"/>
        <w:jc w:val="center"/>
        <w:rPr>
          <w:rFonts w:ascii="方正小标宋简体" w:eastAsia="方正小标宋简体"/>
          <w:sz w:val="44"/>
          <w:szCs w:val="44"/>
        </w:rPr>
      </w:pPr>
    </w:p>
    <w:p>
      <w:pPr>
        <w:pStyle w:val="2"/>
        <w:spacing w:before="0" w:beforeAutospacing="0" w:after="0" w:afterAutospacing="0" w:line="620" w:lineRule="exact"/>
        <w:jc w:val="center"/>
        <w:rPr>
          <w:rFonts w:hint="default" w:ascii="仿宋" w:hAnsi="仿宋" w:eastAsia="方正小标宋简体"/>
          <w:b w:val="0"/>
          <w:color w:val="000000"/>
          <w:sz w:val="44"/>
          <w:szCs w:val="44"/>
        </w:rPr>
      </w:pPr>
      <w:r>
        <w:rPr>
          <w:rFonts w:ascii="仿宋" w:hAnsi="仿宋" w:eastAsia="方正小标宋简体"/>
          <w:b w:val="0"/>
          <w:color w:val="000000"/>
          <w:sz w:val="44"/>
          <w:szCs w:val="44"/>
        </w:rPr>
        <w:t>湖南省交通运输厅</w:t>
      </w:r>
    </w:p>
    <w:p>
      <w:pPr>
        <w:spacing w:line="620" w:lineRule="exact"/>
        <w:jc w:val="center"/>
        <w:rPr>
          <w:rFonts w:ascii="仿宋" w:hAnsi="仿宋" w:eastAsia="方正小标宋简体" w:cs="宋体"/>
          <w:color w:val="000000"/>
          <w:kern w:val="44"/>
          <w:sz w:val="44"/>
          <w:szCs w:val="44"/>
          <w:lang w:bidi="ar"/>
        </w:rPr>
      </w:pPr>
      <w:r>
        <w:rPr>
          <w:rFonts w:hint="eastAsia" w:ascii="仿宋" w:hAnsi="仿宋" w:eastAsia="方正小标宋简体" w:cs="宋体"/>
          <w:color w:val="000000"/>
          <w:kern w:val="44"/>
          <w:sz w:val="44"/>
          <w:szCs w:val="44"/>
          <w:lang w:bidi="ar"/>
        </w:rPr>
        <w:t>湖南省发展和改革委员会</w:t>
      </w:r>
    </w:p>
    <w:p>
      <w:pPr>
        <w:spacing w:line="620" w:lineRule="exact"/>
        <w:jc w:val="center"/>
        <w:rPr>
          <w:rFonts w:ascii="仿宋" w:hAnsi="仿宋" w:eastAsia="方正小标宋简体" w:cs="宋体"/>
          <w:color w:val="000000"/>
          <w:kern w:val="44"/>
          <w:sz w:val="44"/>
          <w:szCs w:val="44"/>
          <w:lang w:bidi="ar"/>
        </w:rPr>
      </w:pPr>
      <w:r>
        <w:rPr>
          <w:rFonts w:hint="eastAsia" w:ascii="仿宋" w:hAnsi="仿宋" w:eastAsia="方正小标宋简体" w:cs="宋体"/>
          <w:color w:val="000000"/>
          <w:kern w:val="44"/>
          <w:sz w:val="44"/>
          <w:szCs w:val="44"/>
          <w:lang w:bidi="ar"/>
        </w:rPr>
        <w:t>湖南省财政厅</w:t>
      </w:r>
    </w:p>
    <w:p>
      <w:pPr>
        <w:widowControl/>
        <w:spacing w:line="620" w:lineRule="exact"/>
        <w:jc w:val="center"/>
        <w:rPr>
          <w:rFonts w:ascii="新宋体" w:hAnsi="新宋体" w:eastAsia="方正小标宋简体"/>
          <w:color w:val="000000"/>
          <w:kern w:val="0"/>
          <w:sz w:val="44"/>
          <w:szCs w:val="44"/>
        </w:rPr>
      </w:pPr>
      <w:r>
        <w:rPr>
          <w:rFonts w:hint="eastAsia" w:ascii="仿宋" w:hAnsi="仿宋" w:eastAsia="方正小标宋简体" w:cs="宋体"/>
          <w:color w:val="000000"/>
          <w:kern w:val="44"/>
          <w:sz w:val="44"/>
          <w:szCs w:val="44"/>
          <w:lang w:bidi="ar"/>
        </w:rPr>
        <w:t>关于印发《</w:t>
      </w:r>
      <w:r>
        <w:rPr>
          <w:rFonts w:hint="eastAsia" w:ascii="新宋体" w:hAnsi="新宋体" w:eastAsia="方正小标宋简体"/>
          <w:color w:val="000000"/>
          <w:kern w:val="0"/>
          <w:sz w:val="44"/>
          <w:szCs w:val="44"/>
        </w:rPr>
        <w:t>湖南省高速公路路况服务质量</w:t>
      </w:r>
    </w:p>
    <w:p>
      <w:pPr>
        <w:widowControl/>
        <w:spacing w:line="620" w:lineRule="exact"/>
        <w:jc w:val="center"/>
        <w:rPr>
          <w:rFonts w:ascii="仿宋" w:hAnsi="仿宋" w:eastAsia="方正小标宋简体" w:cs="宋体"/>
          <w:color w:val="000000"/>
          <w:kern w:val="44"/>
          <w:sz w:val="44"/>
          <w:szCs w:val="44"/>
          <w:lang w:bidi="ar"/>
        </w:rPr>
      </w:pPr>
      <w:r>
        <w:rPr>
          <w:rFonts w:hint="eastAsia" w:ascii="新宋体" w:hAnsi="新宋体" w:eastAsia="方正小标宋简体"/>
          <w:color w:val="000000"/>
          <w:kern w:val="0"/>
          <w:sz w:val="44"/>
          <w:szCs w:val="44"/>
        </w:rPr>
        <w:t>考核评价办法</w:t>
      </w:r>
      <w:r>
        <w:rPr>
          <w:rFonts w:hint="eastAsia" w:ascii="仿宋" w:hAnsi="仿宋" w:eastAsia="方正小标宋简体" w:cs="宋体"/>
          <w:color w:val="000000"/>
          <w:kern w:val="44"/>
          <w:sz w:val="44"/>
          <w:szCs w:val="44"/>
          <w:lang w:bidi="ar"/>
        </w:rPr>
        <w:t>》的通知</w:t>
      </w:r>
    </w:p>
    <w:p>
      <w:pPr>
        <w:spacing w:line="600" w:lineRule="exact"/>
        <w:ind w:firstLine="420" w:firstLineChars="200"/>
        <w:rPr>
          <w:rFonts w:ascii="仿宋" w:hAnsi="仿宋"/>
          <w:color w:val="000000"/>
          <w:szCs w:val="32"/>
        </w:rPr>
      </w:pPr>
    </w:p>
    <w:p>
      <w:pPr>
        <w:spacing w:line="600" w:lineRule="exact"/>
        <w:rPr>
          <w:rFonts w:ascii="新宋体" w:hAnsi="新宋体" w:eastAsia="仿宋_GB2312"/>
          <w:color w:val="000000"/>
          <w:sz w:val="32"/>
          <w:szCs w:val="32"/>
        </w:rPr>
      </w:pPr>
      <w:r>
        <w:rPr>
          <w:rFonts w:hint="eastAsia" w:ascii="新宋体" w:hAnsi="新宋体" w:eastAsia="仿宋_GB2312"/>
          <w:color w:val="000000"/>
          <w:sz w:val="32"/>
          <w:szCs w:val="32"/>
        </w:rPr>
        <w:t>省高速公路集团有限公司，各高速公路经营管理者，</w:t>
      </w:r>
      <w:r>
        <w:rPr>
          <w:rFonts w:ascii="新宋体" w:hAnsi="新宋体" w:eastAsia="仿宋_GB2312"/>
          <w:color w:val="000000"/>
          <w:sz w:val="32"/>
          <w:szCs w:val="32"/>
        </w:rPr>
        <w:t>省直相关单位：</w:t>
      </w:r>
    </w:p>
    <w:p>
      <w:pPr>
        <w:spacing w:line="600" w:lineRule="exact"/>
        <w:rPr>
          <w:rFonts w:ascii="新宋体" w:hAnsi="新宋体" w:eastAsia="仿宋_GB2312"/>
          <w:color w:val="000000"/>
          <w:sz w:val="32"/>
          <w:szCs w:val="32"/>
        </w:rPr>
      </w:pPr>
      <w:r>
        <w:rPr>
          <w:rFonts w:hint="eastAsia" w:ascii="新宋体" w:hAnsi="新宋体" w:eastAsia="仿宋_GB2312"/>
          <w:color w:val="000000"/>
          <w:sz w:val="32"/>
          <w:szCs w:val="32"/>
        </w:rPr>
        <w:t xml:space="preserve">    </w:t>
      </w:r>
      <w:r>
        <w:rPr>
          <w:rFonts w:ascii="新宋体" w:hAnsi="新宋体" w:eastAsia="仿宋_GB2312"/>
          <w:color w:val="000000"/>
          <w:sz w:val="32"/>
          <w:szCs w:val="32"/>
        </w:rPr>
        <w:t>经省人民政府同意，现将《</w:t>
      </w:r>
      <w:r>
        <w:rPr>
          <w:rFonts w:hint="eastAsia" w:ascii="新宋体" w:hAnsi="新宋体" w:eastAsia="仿宋_GB2312"/>
          <w:color w:val="000000"/>
          <w:sz w:val="32"/>
          <w:szCs w:val="32"/>
        </w:rPr>
        <w:t>湖南省高速公路路况服务质量考核评价办法</w:t>
      </w:r>
      <w:r>
        <w:rPr>
          <w:rFonts w:ascii="新宋体" w:hAnsi="新宋体" w:eastAsia="仿宋_GB2312"/>
          <w:color w:val="000000"/>
          <w:sz w:val="32"/>
          <w:szCs w:val="32"/>
        </w:rPr>
        <w:t>》印发给你们，请</w:t>
      </w:r>
      <w:r>
        <w:rPr>
          <w:rFonts w:hint="eastAsia" w:ascii="新宋体" w:hAnsi="新宋体" w:eastAsia="仿宋_GB2312"/>
          <w:color w:val="000000"/>
          <w:sz w:val="32"/>
          <w:szCs w:val="32"/>
        </w:rPr>
        <w:t>遵照执行</w:t>
      </w:r>
      <w:r>
        <w:rPr>
          <w:rFonts w:ascii="新宋体" w:hAnsi="新宋体" w:eastAsia="仿宋_GB2312"/>
          <w:color w:val="000000"/>
          <w:sz w:val="32"/>
          <w:szCs w:val="32"/>
        </w:rPr>
        <w:t>。</w:t>
      </w:r>
    </w:p>
    <w:p>
      <w:pPr>
        <w:pStyle w:val="9"/>
        <w:spacing w:line="600" w:lineRule="exact"/>
        <w:ind w:firstLine="640"/>
        <w:rPr>
          <w:sz w:val="32"/>
          <w:szCs w:val="32"/>
        </w:rPr>
      </w:pPr>
    </w:p>
    <w:p>
      <w:pPr>
        <w:ind w:firstLine="640" w:firstLineChars="200"/>
        <w:jc w:val="left"/>
        <w:rPr>
          <w:rFonts w:ascii="仿宋_GB2312" w:eastAsia="仿宋_GB2312"/>
          <w:sz w:val="32"/>
        </w:rPr>
      </w:pPr>
    </w:p>
    <w:p>
      <w:pPr>
        <w:ind w:firstLine="640" w:firstLineChars="200"/>
        <w:jc w:val="left"/>
        <w:rPr>
          <w:rFonts w:ascii="仿宋_GB2312" w:eastAsia="仿宋_GB2312"/>
          <w:sz w:val="32"/>
        </w:rPr>
      </w:pPr>
    </w:p>
    <w:p>
      <w:pPr>
        <w:ind w:firstLine="640" w:firstLineChars="200"/>
        <w:jc w:val="left"/>
        <w:rPr>
          <w:rFonts w:ascii="仿宋_GB2312" w:eastAsia="仿宋_GB2312"/>
          <w:sz w:val="32"/>
        </w:rPr>
      </w:pPr>
      <w:r>
        <w:rPr>
          <w:rFonts w:hint="eastAsia" w:ascii="仿宋_GB2312" w:eastAsia="仿宋_GB2312"/>
          <w:sz w:val="32"/>
        </w:rPr>
        <w:t xml:space="preserve">湖南省交通运输厅      </w:t>
      </w:r>
      <w:r>
        <w:rPr>
          <w:rFonts w:ascii="仿宋_GB2312" w:eastAsia="仿宋_GB2312"/>
          <w:sz w:val="32"/>
        </w:rPr>
        <w:t xml:space="preserve">湖南省发展和改革委员会     </w:t>
      </w:r>
    </w:p>
    <w:p>
      <w:pPr>
        <w:pStyle w:val="2"/>
        <w:spacing w:before="0" w:beforeAutospacing="0" w:after="0" w:afterAutospacing="0" w:line="600" w:lineRule="exact"/>
        <w:jc w:val="center"/>
        <w:rPr>
          <w:rFonts w:hint="default" w:ascii="仿宋_GB2312" w:hAnsi="Times New Roman" w:eastAsia="仿宋_GB2312"/>
          <w:b w:val="0"/>
          <w:kern w:val="2"/>
          <w:sz w:val="32"/>
          <w:szCs w:val="24"/>
        </w:rPr>
      </w:pPr>
    </w:p>
    <w:p/>
    <w:p/>
    <w:p/>
    <w:p>
      <w:pPr>
        <w:pStyle w:val="2"/>
        <w:spacing w:before="0" w:beforeAutospacing="0" w:after="0" w:afterAutospacing="0" w:line="600" w:lineRule="exact"/>
        <w:jc w:val="center"/>
        <w:rPr>
          <w:rFonts w:hint="default" w:ascii="仿宋_GB2312" w:hAnsi="Times New Roman" w:eastAsia="仿宋_GB2312"/>
          <w:b w:val="0"/>
          <w:kern w:val="2"/>
          <w:sz w:val="32"/>
          <w:szCs w:val="24"/>
        </w:rPr>
      </w:pPr>
      <w:r>
        <w:rPr>
          <w:rFonts w:ascii="仿宋_GB2312" w:hAnsi="Times New Roman" w:eastAsia="仿宋_GB2312"/>
          <w:b w:val="0"/>
          <w:kern w:val="2"/>
          <w:sz w:val="32"/>
          <w:szCs w:val="24"/>
        </w:rPr>
        <w:t>湖南省财政厅</w:t>
      </w:r>
    </w:p>
    <w:p>
      <w:pPr>
        <w:pStyle w:val="2"/>
        <w:spacing w:before="0" w:beforeAutospacing="0" w:after="0" w:afterAutospacing="0" w:line="600" w:lineRule="exact"/>
        <w:jc w:val="center"/>
        <w:rPr>
          <w:rFonts w:hint="default" w:ascii="仿宋_GB2312" w:hAnsi="Times New Roman" w:eastAsia="仿宋_GB2312"/>
          <w:b w:val="0"/>
          <w:kern w:val="2"/>
          <w:sz w:val="32"/>
          <w:szCs w:val="24"/>
        </w:rPr>
      </w:pPr>
      <w:r>
        <w:rPr>
          <w:rFonts w:ascii="仿宋_GB2312" w:hAnsi="Times New Roman" w:eastAsia="仿宋_GB2312"/>
          <w:b w:val="0"/>
          <w:kern w:val="2"/>
          <w:sz w:val="32"/>
          <w:szCs w:val="24"/>
        </w:rPr>
        <w:t>2023年11月15日</w:t>
      </w:r>
    </w:p>
    <w:p>
      <w:pPr>
        <w:widowControl/>
        <w:spacing w:line="600" w:lineRule="exact"/>
        <w:jc w:val="center"/>
        <w:rPr>
          <w:rFonts w:ascii="新宋体" w:hAnsi="新宋体" w:eastAsia="方正小标宋简体"/>
          <w:color w:val="000000"/>
          <w:kern w:val="0"/>
          <w:sz w:val="44"/>
          <w:szCs w:val="44"/>
        </w:rPr>
      </w:pPr>
    </w:p>
    <w:p>
      <w:pPr>
        <w:widowControl/>
        <w:spacing w:line="600" w:lineRule="exact"/>
        <w:jc w:val="center"/>
        <w:rPr>
          <w:rFonts w:ascii="新宋体" w:hAnsi="新宋体" w:eastAsia="方正小标宋简体"/>
          <w:color w:val="000000"/>
          <w:kern w:val="0"/>
          <w:sz w:val="44"/>
          <w:szCs w:val="44"/>
        </w:rPr>
      </w:pPr>
    </w:p>
    <w:p>
      <w:pPr>
        <w:widowControl/>
        <w:spacing w:line="600" w:lineRule="exact"/>
        <w:jc w:val="center"/>
        <w:rPr>
          <w:rFonts w:ascii="新宋体" w:hAnsi="新宋体" w:eastAsia="方正小标宋简体"/>
          <w:color w:val="000000"/>
          <w:kern w:val="0"/>
          <w:sz w:val="44"/>
          <w:szCs w:val="44"/>
        </w:rPr>
      </w:pPr>
    </w:p>
    <w:p>
      <w:pPr>
        <w:widowControl/>
        <w:spacing w:line="600" w:lineRule="exact"/>
        <w:jc w:val="center"/>
        <w:rPr>
          <w:rFonts w:ascii="新宋体" w:hAnsi="新宋体" w:eastAsia="方正小标宋简体"/>
          <w:color w:val="000000"/>
          <w:kern w:val="0"/>
          <w:sz w:val="44"/>
          <w:szCs w:val="44"/>
        </w:rPr>
      </w:pPr>
    </w:p>
    <w:p>
      <w:pPr>
        <w:widowControl/>
        <w:spacing w:line="600" w:lineRule="exact"/>
        <w:jc w:val="center"/>
        <w:rPr>
          <w:rFonts w:ascii="新宋体" w:hAnsi="新宋体" w:eastAsia="方正小标宋简体"/>
          <w:color w:val="000000"/>
          <w:kern w:val="0"/>
          <w:sz w:val="44"/>
          <w:szCs w:val="44"/>
        </w:rPr>
      </w:pPr>
    </w:p>
    <w:p>
      <w:pPr>
        <w:widowControl/>
        <w:spacing w:line="600" w:lineRule="exact"/>
        <w:jc w:val="center"/>
        <w:rPr>
          <w:rFonts w:ascii="新宋体" w:hAnsi="新宋体" w:eastAsia="方正小标宋简体"/>
          <w:color w:val="000000"/>
          <w:kern w:val="0"/>
          <w:sz w:val="44"/>
          <w:szCs w:val="44"/>
        </w:rPr>
      </w:pPr>
    </w:p>
    <w:p>
      <w:pPr>
        <w:widowControl/>
        <w:spacing w:line="600" w:lineRule="exact"/>
        <w:jc w:val="center"/>
        <w:rPr>
          <w:rFonts w:ascii="新宋体" w:hAnsi="新宋体" w:eastAsia="方正小标宋简体"/>
          <w:color w:val="000000"/>
          <w:kern w:val="0"/>
          <w:sz w:val="44"/>
          <w:szCs w:val="44"/>
        </w:rPr>
      </w:pPr>
    </w:p>
    <w:p>
      <w:pPr>
        <w:widowControl/>
        <w:spacing w:line="600" w:lineRule="exact"/>
        <w:jc w:val="center"/>
        <w:rPr>
          <w:rFonts w:ascii="新宋体" w:hAnsi="新宋体" w:eastAsia="方正小标宋简体"/>
          <w:color w:val="000000"/>
          <w:kern w:val="0"/>
          <w:sz w:val="44"/>
          <w:szCs w:val="44"/>
        </w:rPr>
      </w:pPr>
    </w:p>
    <w:p>
      <w:pPr>
        <w:widowControl/>
        <w:spacing w:line="600" w:lineRule="exact"/>
        <w:jc w:val="center"/>
        <w:rPr>
          <w:rFonts w:ascii="新宋体" w:hAnsi="新宋体" w:eastAsia="方正小标宋简体"/>
          <w:color w:val="000000"/>
          <w:kern w:val="0"/>
          <w:sz w:val="44"/>
          <w:szCs w:val="44"/>
        </w:rPr>
      </w:pPr>
    </w:p>
    <w:p>
      <w:pPr>
        <w:widowControl/>
        <w:spacing w:line="600" w:lineRule="exact"/>
        <w:jc w:val="center"/>
        <w:rPr>
          <w:rFonts w:ascii="新宋体" w:hAnsi="新宋体" w:eastAsia="方正小标宋简体"/>
          <w:color w:val="000000"/>
          <w:kern w:val="0"/>
          <w:sz w:val="44"/>
          <w:szCs w:val="44"/>
        </w:rPr>
      </w:pPr>
    </w:p>
    <w:p>
      <w:pPr>
        <w:widowControl/>
        <w:spacing w:line="600" w:lineRule="exact"/>
        <w:jc w:val="center"/>
        <w:rPr>
          <w:rFonts w:ascii="新宋体" w:hAnsi="新宋体" w:eastAsia="方正小标宋简体"/>
          <w:color w:val="000000"/>
          <w:kern w:val="0"/>
          <w:sz w:val="44"/>
          <w:szCs w:val="44"/>
        </w:rPr>
      </w:pPr>
    </w:p>
    <w:p>
      <w:pPr>
        <w:widowControl/>
        <w:spacing w:line="240" w:lineRule="exact"/>
        <w:jc w:val="center"/>
        <w:rPr>
          <w:rFonts w:ascii="新宋体" w:hAnsi="新宋体" w:eastAsia="方正小标宋简体"/>
          <w:color w:val="000000"/>
          <w:kern w:val="0"/>
          <w:sz w:val="44"/>
          <w:szCs w:val="44"/>
        </w:rPr>
      </w:pPr>
    </w:p>
    <w:p>
      <w:pPr>
        <w:widowControl/>
        <w:spacing w:line="400" w:lineRule="exact"/>
        <w:jc w:val="center"/>
        <w:rPr>
          <w:rFonts w:ascii="新宋体" w:hAnsi="新宋体" w:eastAsia="方正小标宋简体"/>
          <w:color w:val="000000"/>
          <w:kern w:val="0"/>
          <w:sz w:val="44"/>
          <w:szCs w:val="44"/>
        </w:rPr>
      </w:pPr>
    </w:p>
    <w:p>
      <w:pPr>
        <w:widowControl/>
        <w:spacing w:line="400" w:lineRule="exact"/>
        <w:jc w:val="center"/>
        <w:rPr>
          <w:rFonts w:ascii="新宋体" w:hAnsi="新宋体" w:eastAsia="方正小标宋简体"/>
          <w:color w:val="000000"/>
          <w:kern w:val="0"/>
          <w:sz w:val="44"/>
          <w:szCs w:val="44"/>
        </w:rPr>
      </w:pPr>
    </w:p>
    <w:p>
      <w:pPr>
        <w:widowControl/>
        <w:spacing w:line="660" w:lineRule="exact"/>
        <w:jc w:val="center"/>
        <w:rPr>
          <w:rFonts w:ascii="新宋体" w:hAnsi="新宋体" w:eastAsia="方正小标宋简体"/>
          <w:color w:val="000000"/>
          <w:kern w:val="0"/>
          <w:sz w:val="44"/>
          <w:szCs w:val="44"/>
        </w:rPr>
      </w:pPr>
      <w:r>
        <w:rPr>
          <w:rFonts w:hint="eastAsia" w:ascii="新宋体" w:hAnsi="新宋体" w:eastAsia="方正小标宋简体"/>
          <w:color w:val="000000"/>
          <w:kern w:val="0"/>
          <w:sz w:val="44"/>
          <w:szCs w:val="44"/>
        </w:rPr>
        <w:t>湖南省高速公路路况服务质量</w:t>
      </w:r>
    </w:p>
    <w:p>
      <w:pPr>
        <w:widowControl/>
        <w:spacing w:line="660" w:lineRule="exact"/>
        <w:jc w:val="center"/>
        <w:rPr>
          <w:rFonts w:ascii="新宋体" w:hAnsi="新宋体" w:eastAsia="方正小标宋简体"/>
          <w:color w:val="000000"/>
          <w:kern w:val="0"/>
          <w:sz w:val="44"/>
          <w:szCs w:val="44"/>
        </w:rPr>
      </w:pPr>
      <w:r>
        <w:rPr>
          <w:rFonts w:hint="eastAsia" w:ascii="新宋体" w:hAnsi="新宋体" w:eastAsia="方正小标宋简体"/>
          <w:color w:val="000000"/>
          <w:kern w:val="0"/>
          <w:sz w:val="44"/>
          <w:szCs w:val="44"/>
        </w:rPr>
        <w:t>考核评价办法</w:t>
      </w:r>
    </w:p>
    <w:p>
      <w:pPr>
        <w:shd w:val="clear" w:color="auto" w:fill="FFFFFF"/>
        <w:overflowPunct w:val="0"/>
        <w:topLinePunct/>
        <w:spacing w:line="520" w:lineRule="exact"/>
        <w:rPr>
          <w:rFonts w:ascii="新宋体" w:hAnsi="新宋体" w:eastAsia="仿宋_GB2312"/>
          <w:color w:val="000000"/>
          <w:sz w:val="44"/>
          <w:szCs w:val="44"/>
        </w:rPr>
      </w:pPr>
    </w:p>
    <w:p>
      <w:pPr>
        <w:shd w:val="clear" w:color="auto" w:fill="FFFFFF"/>
        <w:overflowPunct w:val="0"/>
        <w:topLinePunct/>
        <w:spacing w:before="156" w:beforeLines="50" w:after="156" w:afterLines="50" w:line="580" w:lineRule="exact"/>
        <w:jc w:val="center"/>
        <w:rPr>
          <w:rFonts w:ascii="新宋体" w:hAnsi="新宋体" w:eastAsia="黑体"/>
          <w:color w:val="000000"/>
          <w:sz w:val="32"/>
          <w:szCs w:val="32"/>
        </w:rPr>
      </w:pPr>
      <w:r>
        <w:rPr>
          <w:rFonts w:hint="eastAsia" w:ascii="新宋体" w:hAnsi="新宋体" w:eastAsia="黑体"/>
          <w:color w:val="000000"/>
          <w:sz w:val="32"/>
          <w:szCs w:val="32"/>
        </w:rPr>
        <w:t>第一章</w:t>
      </w:r>
      <w:r>
        <w:rPr>
          <w:rFonts w:ascii="新宋体" w:hAnsi="新宋体" w:eastAsia="黑体"/>
          <w:color w:val="000000"/>
          <w:sz w:val="32"/>
          <w:szCs w:val="32"/>
        </w:rPr>
        <w:t xml:space="preserve">  </w:t>
      </w:r>
      <w:r>
        <w:rPr>
          <w:rFonts w:hint="eastAsia" w:ascii="新宋体" w:hAnsi="新宋体" w:eastAsia="黑体"/>
          <w:color w:val="000000"/>
          <w:sz w:val="32"/>
          <w:szCs w:val="32"/>
        </w:rPr>
        <w:t>总  则</w:t>
      </w:r>
    </w:p>
    <w:p>
      <w:pPr>
        <w:overflowPunct w:val="0"/>
        <w:topLinePunct/>
        <w:spacing w:line="580" w:lineRule="exact"/>
        <w:ind w:firstLine="642" w:firstLineChars="200"/>
        <w:rPr>
          <w:rFonts w:ascii="新宋体" w:hAnsi="新宋体" w:eastAsia="仿宋_GB2312"/>
          <w:color w:val="000000"/>
          <w:sz w:val="32"/>
          <w:szCs w:val="32"/>
        </w:rPr>
      </w:pPr>
      <w:r>
        <w:rPr>
          <w:rFonts w:hint="eastAsia" w:ascii="新宋体" w:hAnsi="新宋体" w:eastAsia="仿宋_GB2312"/>
          <w:b/>
          <w:color w:val="000000"/>
          <w:sz w:val="32"/>
          <w:szCs w:val="32"/>
        </w:rPr>
        <w:t xml:space="preserve">第一条 </w:t>
      </w:r>
      <w:r>
        <w:rPr>
          <w:rFonts w:hint="eastAsia" w:ascii="新宋体" w:hAnsi="新宋体" w:eastAsia="仿宋_GB2312"/>
          <w:color w:val="000000"/>
          <w:sz w:val="32"/>
          <w:szCs w:val="32"/>
        </w:rPr>
        <w:t>为规范高速公路运营管理，提升服务水平，促进我省高速公路高质量发展，根据《中华人民共和国公路法》《中华人民共和国价格法》《收费公路管理条例》《湖南省高速公路条例》《基础设施和公用事业特许经营管理办法》等规定，制定本办法。</w:t>
      </w:r>
    </w:p>
    <w:p>
      <w:pPr>
        <w:overflowPunct w:val="0"/>
        <w:topLinePunct/>
        <w:spacing w:line="580" w:lineRule="exact"/>
        <w:ind w:firstLine="642" w:firstLineChars="200"/>
        <w:rPr>
          <w:rFonts w:ascii="新宋体" w:hAnsi="新宋体" w:eastAsia="仿宋_GB2312"/>
          <w:color w:val="000000"/>
          <w:sz w:val="32"/>
          <w:szCs w:val="32"/>
        </w:rPr>
      </w:pPr>
      <w:r>
        <w:rPr>
          <w:rFonts w:hint="eastAsia" w:ascii="新宋体" w:hAnsi="新宋体" w:eastAsia="仿宋_GB2312"/>
          <w:b/>
          <w:color w:val="000000"/>
          <w:sz w:val="32"/>
          <w:szCs w:val="32"/>
        </w:rPr>
        <w:t xml:space="preserve">第二条 </w:t>
      </w:r>
      <w:r>
        <w:rPr>
          <w:rFonts w:hint="eastAsia" w:ascii="新宋体" w:hAnsi="新宋体" w:eastAsia="仿宋_GB2312"/>
          <w:color w:val="000000"/>
          <w:sz w:val="32"/>
          <w:szCs w:val="32"/>
        </w:rPr>
        <w:t>在本省行政区域内已经开通运营的高速公路项目（包括政府还贷高速公路和经营性高速公路），适用本办法。</w:t>
      </w:r>
    </w:p>
    <w:p>
      <w:pPr>
        <w:overflowPunct w:val="0"/>
        <w:topLinePunct/>
        <w:spacing w:line="580" w:lineRule="exact"/>
        <w:ind w:firstLine="642" w:firstLineChars="200"/>
        <w:rPr>
          <w:rFonts w:ascii="新宋体" w:hAnsi="新宋体" w:eastAsia="仿宋_GB2312"/>
          <w:color w:val="000000"/>
          <w:sz w:val="32"/>
          <w:szCs w:val="32"/>
        </w:rPr>
      </w:pPr>
      <w:r>
        <w:rPr>
          <w:rFonts w:hint="eastAsia" w:ascii="新宋体" w:hAnsi="新宋体" w:eastAsia="仿宋_GB2312"/>
          <w:b/>
          <w:color w:val="000000"/>
          <w:sz w:val="32"/>
          <w:szCs w:val="32"/>
        </w:rPr>
        <w:t xml:space="preserve">第三条 </w:t>
      </w:r>
      <w:r>
        <w:rPr>
          <w:rFonts w:hint="eastAsia" w:ascii="新宋体" w:hAnsi="新宋体" w:eastAsia="仿宋_GB2312"/>
          <w:color w:val="000000"/>
          <w:sz w:val="32"/>
          <w:szCs w:val="32"/>
        </w:rPr>
        <w:t>坚持政府主导、部门负责、协调联动、质价相符的原则，有序推进、稳步实施高速公路路况服务质量考核评价工作，在省人民政府批准的收费标准内，根据路况服务质量考核评价结果，</w:t>
      </w:r>
      <w:r>
        <w:rPr>
          <w:rFonts w:hint="eastAsia" w:ascii="新宋体" w:hAnsi="新宋体" w:eastAsia="仿宋_GB2312"/>
          <w:bCs/>
          <w:color w:val="000000"/>
          <w:sz w:val="32"/>
          <w:szCs w:val="32"/>
        </w:rPr>
        <w:t>在一定期限内</w:t>
      </w:r>
      <w:r>
        <w:rPr>
          <w:rFonts w:hint="eastAsia" w:ascii="新宋体" w:hAnsi="新宋体" w:eastAsia="仿宋_GB2312"/>
          <w:color w:val="000000"/>
          <w:sz w:val="32"/>
          <w:szCs w:val="32"/>
        </w:rPr>
        <w:t>实行高速公路车辆通行费收费标准浮动管理。</w:t>
      </w:r>
    </w:p>
    <w:p>
      <w:pPr>
        <w:overflowPunct w:val="0"/>
        <w:topLinePunct/>
        <w:spacing w:line="580" w:lineRule="exact"/>
        <w:ind w:firstLine="642" w:firstLineChars="200"/>
        <w:rPr>
          <w:rFonts w:ascii="新宋体" w:hAnsi="新宋体" w:eastAsia="仿宋_GB2312"/>
          <w:color w:val="000000"/>
          <w:sz w:val="32"/>
          <w:szCs w:val="32"/>
        </w:rPr>
      </w:pPr>
      <w:r>
        <w:rPr>
          <w:rFonts w:hint="eastAsia" w:ascii="新宋体" w:hAnsi="新宋体" w:eastAsia="仿宋_GB2312"/>
          <w:b/>
          <w:color w:val="000000"/>
          <w:sz w:val="32"/>
          <w:szCs w:val="32"/>
        </w:rPr>
        <w:t xml:space="preserve">第四条 </w:t>
      </w:r>
      <w:r>
        <w:rPr>
          <w:rFonts w:hint="eastAsia" w:ascii="新宋体" w:hAnsi="新宋体" w:eastAsia="仿宋_GB2312"/>
          <w:color w:val="000000"/>
          <w:sz w:val="32"/>
          <w:szCs w:val="32"/>
        </w:rPr>
        <w:t>省交通运输厅负责组织实施湖南省高速公路路况服务质量考核评价，及时通报考核评价结果。并会同省发展改革委、省财政厅按照法定职权和程序办理路况服务质量考核评价不合格的高速公路下浮收费标准事宜。</w:t>
      </w:r>
    </w:p>
    <w:p>
      <w:pPr>
        <w:overflowPunct w:val="0"/>
        <w:topLinePunct/>
        <w:spacing w:line="580" w:lineRule="exact"/>
        <w:ind w:firstLine="640" w:firstLineChars="200"/>
        <w:rPr>
          <w:rFonts w:ascii="新宋体" w:hAnsi="新宋体" w:eastAsia="仿宋_GB2312"/>
          <w:color w:val="000000"/>
          <w:sz w:val="32"/>
          <w:szCs w:val="32"/>
        </w:rPr>
      </w:pPr>
      <w:r>
        <w:rPr>
          <w:rFonts w:hint="eastAsia" w:ascii="新宋体" w:hAnsi="新宋体" w:eastAsia="仿宋_GB2312"/>
          <w:color w:val="000000"/>
          <w:sz w:val="32"/>
          <w:szCs w:val="32"/>
        </w:rPr>
        <w:t>省发展改革委、省财政厅根据职责负责做好车辆通行费收费标准浮动管理有关工作和车辆通行费收费标准浮动政策执行情况的监督等相关工作。</w:t>
      </w:r>
    </w:p>
    <w:p>
      <w:pPr>
        <w:overflowPunct w:val="0"/>
        <w:topLinePunct/>
        <w:spacing w:line="580" w:lineRule="exact"/>
        <w:ind w:firstLine="640" w:firstLineChars="200"/>
        <w:rPr>
          <w:rFonts w:ascii="新宋体" w:hAnsi="新宋体" w:eastAsia="仿宋_GB2312"/>
          <w:color w:val="000000"/>
          <w:sz w:val="32"/>
          <w:szCs w:val="32"/>
        </w:rPr>
      </w:pPr>
      <w:r>
        <w:rPr>
          <w:rFonts w:hint="eastAsia" w:ascii="新宋体" w:hAnsi="新宋体" w:eastAsia="仿宋_GB2312"/>
          <w:color w:val="000000"/>
          <w:sz w:val="32"/>
          <w:szCs w:val="32"/>
        </w:rPr>
        <w:t>省公路事务中心根据其职责和省交通运输厅的委托，做好相关事务性工作。</w:t>
      </w:r>
    </w:p>
    <w:p>
      <w:pPr>
        <w:overflowPunct w:val="0"/>
        <w:topLinePunct/>
        <w:spacing w:line="580" w:lineRule="exact"/>
        <w:ind w:firstLine="642" w:firstLineChars="200"/>
        <w:rPr>
          <w:rFonts w:ascii="新宋体" w:hAnsi="新宋体" w:eastAsia="仿宋_GB2312"/>
          <w:color w:val="000000"/>
          <w:sz w:val="32"/>
          <w:szCs w:val="32"/>
        </w:rPr>
      </w:pPr>
      <w:r>
        <w:rPr>
          <w:rFonts w:hint="eastAsia" w:ascii="新宋体" w:hAnsi="新宋体" w:eastAsia="仿宋_GB2312"/>
          <w:b/>
          <w:color w:val="000000"/>
          <w:sz w:val="32"/>
          <w:szCs w:val="32"/>
        </w:rPr>
        <w:t xml:space="preserve">第五条 </w:t>
      </w:r>
      <w:r>
        <w:rPr>
          <w:rFonts w:hint="eastAsia" w:ascii="新宋体" w:hAnsi="新宋体" w:eastAsia="仿宋_GB2312"/>
          <w:color w:val="000000"/>
          <w:sz w:val="32"/>
          <w:szCs w:val="32"/>
        </w:rPr>
        <w:t>政府还贷高速公路经营管理者和经营性高速公路经营管理者（以下简称高速公路经营管理者）是高速公路运营的责任主体，应切实履行高速公路运营主体责任，依法对承担的高速公路路况服务质量负责，自觉接受和配合路况服务质量考核评价工作，确保全省高速公路安全畅通、路况优良、环境优美、服务优质。</w:t>
      </w:r>
    </w:p>
    <w:p>
      <w:pPr>
        <w:overflowPunct w:val="0"/>
        <w:topLinePunct/>
        <w:spacing w:line="580" w:lineRule="exact"/>
        <w:ind w:firstLine="640" w:firstLineChars="200"/>
        <w:rPr>
          <w:rFonts w:ascii="新宋体" w:hAnsi="新宋体" w:eastAsia="仿宋_GB2312"/>
          <w:bCs/>
          <w:color w:val="000000"/>
          <w:sz w:val="32"/>
          <w:szCs w:val="32"/>
        </w:rPr>
      </w:pPr>
      <w:r>
        <w:rPr>
          <w:rFonts w:hint="eastAsia" w:ascii="新宋体" w:hAnsi="新宋体" w:eastAsia="仿宋_GB2312"/>
          <w:color w:val="000000"/>
          <w:sz w:val="32"/>
          <w:szCs w:val="32"/>
        </w:rPr>
        <w:t>因路况服务质量考评不合格导致收费标准下浮而减少的通行费收入，由高速公路经营管理者自行承担</w:t>
      </w:r>
      <w:r>
        <w:rPr>
          <w:rFonts w:hint="eastAsia" w:ascii="新宋体" w:hAnsi="新宋体" w:eastAsia="仿宋_GB2312"/>
          <w:bCs/>
          <w:color w:val="000000"/>
          <w:sz w:val="32"/>
          <w:szCs w:val="32"/>
        </w:rPr>
        <w:t>，且不因此减轻或免除其应当承担的高速经营管理的任何义务或责任。</w:t>
      </w:r>
    </w:p>
    <w:p>
      <w:pPr>
        <w:shd w:val="clear" w:color="auto" w:fill="FFFFFF"/>
        <w:overflowPunct w:val="0"/>
        <w:topLinePunct/>
        <w:spacing w:before="156" w:beforeLines="50" w:after="156" w:afterLines="50" w:line="580" w:lineRule="exact"/>
        <w:jc w:val="center"/>
        <w:rPr>
          <w:rFonts w:ascii="新宋体" w:hAnsi="新宋体" w:eastAsia="黑体"/>
          <w:color w:val="000000"/>
          <w:sz w:val="32"/>
          <w:szCs w:val="32"/>
        </w:rPr>
      </w:pPr>
      <w:r>
        <w:rPr>
          <w:rFonts w:hint="eastAsia" w:ascii="新宋体" w:hAnsi="新宋体" w:eastAsia="黑体"/>
          <w:color w:val="000000"/>
          <w:sz w:val="32"/>
          <w:szCs w:val="32"/>
        </w:rPr>
        <w:t>第二章  考核指标及基本要求</w:t>
      </w:r>
    </w:p>
    <w:p>
      <w:pPr>
        <w:overflowPunct w:val="0"/>
        <w:topLinePunct/>
        <w:spacing w:line="580" w:lineRule="exact"/>
        <w:ind w:firstLine="629" w:firstLineChars="196"/>
        <w:rPr>
          <w:rFonts w:ascii="仿宋_GB2312" w:hAnsi="新宋体" w:eastAsia="仿宋_GB2312"/>
          <w:color w:val="000000"/>
          <w:spacing w:val="-2"/>
          <w:sz w:val="32"/>
          <w:szCs w:val="32"/>
        </w:rPr>
      </w:pPr>
      <w:r>
        <w:rPr>
          <w:rFonts w:hint="eastAsia" w:ascii="仿宋_GB2312" w:hAnsi="新宋体" w:eastAsia="仿宋_GB2312"/>
          <w:b/>
          <w:color w:val="000000"/>
          <w:sz w:val="32"/>
          <w:szCs w:val="32"/>
        </w:rPr>
        <w:t xml:space="preserve">第六条 </w:t>
      </w:r>
      <w:r>
        <w:rPr>
          <w:rFonts w:hint="eastAsia" w:ascii="仿宋_GB2312" w:hAnsi="新宋体" w:eastAsia="仿宋_GB2312"/>
          <w:color w:val="000000"/>
          <w:sz w:val="32"/>
          <w:szCs w:val="32"/>
        </w:rPr>
        <w:t>考核评价指标包括路况和服务质量两个方面，其中路况主要指公路养护相关指标，服务质量考核评价包括服务区</w:t>
      </w:r>
      <w:r>
        <w:rPr>
          <w:rFonts w:hint="eastAsia" w:ascii="仿宋_GB2312" w:hAnsi="新宋体" w:eastAsia="仿宋_GB2312"/>
          <w:color w:val="000000"/>
          <w:spacing w:val="-2"/>
          <w:sz w:val="32"/>
          <w:szCs w:val="32"/>
        </w:rPr>
        <w:t>服务、收费服务、车辆救援服务、车辆超限治理、路网运行监测、安全生产和应急管理工作等六项内容，考核评价总分为100分。</w:t>
      </w:r>
    </w:p>
    <w:p>
      <w:pPr>
        <w:overflowPunct w:val="0"/>
        <w:topLinePunct/>
        <w:spacing w:line="580" w:lineRule="exact"/>
        <w:ind w:firstLine="629" w:firstLineChars="196"/>
        <w:rPr>
          <w:rFonts w:ascii="仿宋_GB2312" w:hAnsi="新宋体" w:eastAsia="仿宋_GB2312"/>
          <w:color w:val="000000"/>
          <w:kern w:val="0"/>
          <w:sz w:val="32"/>
          <w:szCs w:val="32"/>
        </w:rPr>
      </w:pPr>
      <w:r>
        <w:rPr>
          <w:rFonts w:hint="eastAsia" w:ascii="仿宋_GB2312" w:hAnsi="新宋体" w:eastAsia="仿宋_GB2312"/>
          <w:b/>
          <w:color w:val="000000"/>
          <w:sz w:val="32"/>
          <w:szCs w:val="32"/>
        </w:rPr>
        <w:t xml:space="preserve">第七条 </w:t>
      </w:r>
      <w:r>
        <w:rPr>
          <w:rFonts w:hint="eastAsia" w:ascii="仿宋_GB2312" w:hAnsi="新宋体" w:eastAsia="仿宋_GB2312"/>
          <w:color w:val="000000"/>
          <w:sz w:val="32"/>
          <w:szCs w:val="32"/>
        </w:rPr>
        <w:t>高速公路经营管理者应当根据国家相关政策、全省统一安排和本办法</w:t>
      </w:r>
      <w:r>
        <w:rPr>
          <w:rFonts w:hint="eastAsia" w:ascii="仿宋_GB2312" w:hAnsi="新宋体" w:eastAsia="仿宋_GB2312"/>
          <w:color w:val="000000"/>
          <w:kern w:val="0"/>
          <w:sz w:val="32"/>
          <w:szCs w:val="32"/>
        </w:rPr>
        <w:t xml:space="preserve">相关规定，自觉接受行业和社会的监督评价，自觉在工程竣工验收前对项目重大质量问题、工程遗留问题进行整改处置，不断提高路况和服务质量，积极协助配合行业主管部门、有关单位全面推进高速公路路况服务质量考评工作。 </w:t>
      </w:r>
    </w:p>
    <w:p>
      <w:pPr>
        <w:overflowPunct w:val="0"/>
        <w:topLinePunct/>
        <w:spacing w:line="580" w:lineRule="exact"/>
        <w:ind w:firstLine="629" w:firstLineChars="196"/>
        <w:rPr>
          <w:rFonts w:ascii="仿宋_GB2312" w:hAnsi="新宋体" w:eastAsia="仿宋_GB2312" w:cs="宋体"/>
          <w:color w:val="000000"/>
          <w:sz w:val="32"/>
          <w:szCs w:val="32"/>
        </w:rPr>
      </w:pPr>
      <w:r>
        <w:rPr>
          <w:rFonts w:hint="eastAsia" w:ascii="仿宋_GB2312" w:hAnsi="新宋体" w:eastAsia="仿宋_GB2312"/>
          <w:b/>
          <w:color w:val="000000"/>
          <w:sz w:val="32"/>
          <w:szCs w:val="32"/>
        </w:rPr>
        <w:t xml:space="preserve">第八条 </w:t>
      </w:r>
      <w:r>
        <w:rPr>
          <w:rFonts w:hint="eastAsia" w:ascii="仿宋_GB2312" w:hAnsi="新宋体" w:eastAsia="仿宋_GB2312"/>
          <w:color w:val="000000"/>
          <w:sz w:val="32"/>
          <w:szCs w:val="32"/>
        </w:rPr>
        <w:t>高速公路经营管理者应当</w:t>
      </w:r>
      <w:r>
        <w:rPr>
          <w:rFonts w:hint="eastAsia" w:ascii="仿宋_GB2312" w:hAnsi="新宋体" w:eastAsia="仿宋_GB2312" w:cs="宋体"/>
          <w:color w:val="000000"/>
          <w:sz w:val="32"/>
          <w:szCs w:val="32"/>
        </w:rPr>
        <w:t>按照交通运输部养护技术标准规定，编制中长期养护规划和年度养护计划，</w:t>
      </w:r>
      <w:r>
        <w:rPr>
          <w:rFonts w:hint="eastAsia" w:ascii="仿宋_GB2312" w:hAnsi="新宋体" w:eastAsia="仿宋_GB2312"/>
          <w:color w:val="000000"/>
          <w:sz w:val="32"/>
          <w:szCs w:val="32"/>
        </w:rPr>
        <w:t>不断提高路网的整体通行能力、技术状况水平、安全保障能力、综合服务水平和路域环境综合水平，</w:t>
      </w:r>
      <w:r>
        <w:rPr>
          <w:rFonts w:hint="eastAsia" w:ascii="仿宋_GB2312" w:hAnsi="新宋体" w:eastAsia="仿宋_GB2312" w:cs="宋体"/>
          <w:color w:val="000000"/>
          <w:sz w:val="32"/>
          <w:szCs w:val="32"/>
        </w:rPr>
        <w:t>做好高速公路及设施的养护管理工作，定期对公路、公路桥梁、公路隧道等设施进行检测和评定，按照要求及时向交通运输主管部门或公路管理机构提供公路技术状况数据（含收费站超宽车道通行数据），并为社会公众查询其技术状况信息提供便利，保障高速公路及设施技术状态良好、服务功能完备。</w:t>
      </w:r>
    </w:p>
    <w:p>
      <w:pPr>
        <w:overflowPunct w:val="0"/>
        <w:topLinePunct/>
        <w:spacing w:line="580" w:lineRule="exact"/>
        <w:ind w:firstLine="629" w:firstLineChars="196"/>
        <w:rPr>
          <w:rFonts w:ascii="仿宋_GB2312" w:hAnsi="新宋体" w:eastAsia="仿宋_GB2312" w:cs="宋体"/>
          <w:color w:val="000000"/>
          <w:sz w:val="32"/>
          <w:szCs w:val="32"/>
        </w:rPr>
      </w:pPr>
      <w:r>
        <w:rPr>
          <w:rFonts w:hint="eastAsia" w:ascii="仿宋_GB2312" w:hAnsi="新宋体" w:eastAsia="仿宋_GB2312"/>
          <w:b/>
          <w:color w:val="000000"/>
          <w:sz w:val="32"/>
          <w:szCs w:val="32"/>
        </w:rPr>
        <w:t xml:space="preserve">第九条 </w:t>
      </w:r>
      <w:r>
        <w:rPr>
          <w:rFonts w:hint="eastAsia" w:ascii="仿宋_GB2312" w:hAnsi="新宋体" w:eastAsia="仿宋_GB2312"/>
          <w:color w:val="000000"/>
          <w:kern w:val="0"/>
          <w:sz w:val="32"/>
          <w:szCs w:val="32"/>
        </w:rPr>
        <w:t>高速公路经营管理者应当</w:t>
      </w:r>
      <w:r>
        <w:rPr>
          <w:rFonts w:hint="eastAsia" w:ascii="仿宋_GB2312" w:hAnsi="新宋体" w:eastAsia="仿宋_GB2312" w:cs="宋体"/>
          <w:color w:val="000000"/>
          <w:sz w:val="32"/>
          <w:szCs w:val="32"/>
        </w:rPr>
        <w:t>按照</w:t>
      </w:r>
      <w:r>
        <w:rPr>
          <w:rFonts w:hint="eastAsia" w:ascii="仿宋_GB2312" w:hAnsi="新宋体" w:eastAsia="仿宋_GB2312"/>
          <w:color w:val="000000"/>
          <w:sz w:val="32"/>
          <w:szCs w:val="32"/>
        </w:rPr>
        <w:t>国、省相关规定，</w:t>
      </w:r>
      <w:r>
        <w:rPr>
          <w:rFonts w:hint="eastAsia" w:ascii="仿宋_GB2312" w:hAnsi="新宋体" w:eastAsia="仿宋_GB2312" w:cs="宋体"/>
          <w:color w:val="000000"/>
          <w:sz w:val="32"/>
          <w:szCs w:val="32"/>
        </w:rPr>
        <w:t>加强运营管理，做好服务区服务、收费服务、</w:t>
      </w:r>
      <w:r>
        <w:rPr>
          <w:rFonts w:hint="eastAsia" w:ascii="仿宋_GB2312" w:hAnsi="新宋体" w:eastAsia="仿宋_GB2312"/>
          <w:color w:val="000000"/>
          <w:sz w:val="32"/>
          <w:szCs w:val="32"/>
        </w:rPr>
        <w:t>车辆救援服务、车辆超限治理、路网运行监测、安全生产和应急管理工作，</w:t>
      </w:r>
      <w:r>
        <w:rPr>
          <w:rFonts w:hint="eastAsia" w:ascii="仿宋_GB2312" w:hAnsi="新宋体" w:eastAsia="仿宋_GB2312" w:cs="宋体"/>
          <w:color w:val="000000"/>
          <w:sz w:val="32"/>
          <w:szCs w:val="32"/>
        </w:rPr>
        <w:t>推行文明优质服务，承担公益服务义务，履行维护维修责任，确保服务设施齐全、服务功能完整、服务环境安全卫生舒适。</w:t>
      </w:r>
    </w:p>
    <w:p>
      <w:pPr>
        <w:shd w:val="clear" w:color="auto" w:fill="FFFFFF"/>
        <w:overflowPunct w:val="0"/>
        <w:topLinePunct/>
        <w:spacing w:before="156" w:beforeLines="50" w:after="156" w:afterLines="50" w:line="580" w:lineRule="exact"/>
        <w:jc w:val="center"/>
        <w:rPr>
          <w:rFonts w:ascii="新宋体" w:hAnsi="新宋体" w:eastAsia="黑体"/>
          <w:color w:val="000000"/>
          <w:sz w:val="32"/>
          <w:szCs w:val="32"/>
        </w:rPr>
      </w:pPr>
      <w:r>
        <w:rPr>
          <w:rFonts w:hint="eastAsia" w:ascii="新宋体" w:hAnsi="新宋体" w:eastAsia="黑体"/>
          <w:color w:val="000000"/>
          <w:sz w:val="32"/>
          <w:szCs w:val="32"/>
        </w:rPr>
        <w:t>第三章</w:t>
      </w:r>
      <w:r>
        <w:rPr>
          <w:rFonts w:ascii="新宋体" w:hAnsi="新宋体" w:eastAsia="黑体"/>
          <w:color w:val="000000"/>
          <w:sz w:val="32"/>
          <w:szCs w:val="32"/>
        </w:rPr>
        <w:t xml:space="preserve">  </w:t>
      </w:r>
      <w:r>
        <w:rPr>
          <w:rFonts w:hint="eastAsia" w:ascii="新宋体" w:hAnsi="新宋体" w:eastAsia="黑体"/>
          <w:color w:val="000000"/>
          <w:sz w:val="32"/>
          <w:szCs w:val="32"/>
        </w:rPr>
        <w:t>考评的组织实施及结果运用</w:t>
      </w:r>
    </w:p>
    <w:p>
      <w:pPr>
        <w:overflowPunct w:val="0"/>
        <w:topLinePunct/>
        <w:spacing w:line="580" w:lineRule="exact"/>
        <w:ind w:firstLine="629" w:firstLineChars="196"/>
        <w:rPr>
          <w:rFonts w:ascii="仿宋_GB2312" w:hAnsi="新宋体" w:eastAsia="仿宋_GB2312"/>
          <w:color w:val="000000"/>
          <w:sz w:val="32"/>
          <w:szCs w:val="32"/>
        </w:rPr>
      </w:pPr>
      <w:r>
        <w:rPr>
          <w:rFonts w:hint="eastAsia" w:ascii="仿宋_GB2312" w:hAnsi="新宋体" w:eastAsia="仿宋_GB2312"/>
          <w:b/>
          <w:color w:val="000000"/>
          <w:sz w:val="32"/>
          <w:szCs w:val="32"/>
        </w:rPr>
        <w:t xml:space="preserve">第十条 </w:t>
      </w:r>
      <w:r>
        <w:rPr>
          <w:rFonts w:hint="eastAsia" w:ascii="仿宋_GB2312" w:hAnsi="新宋体" w:eastAsia="仿宋_GB2312"/>
          <w:color w:val="000000"/>
          <w:sz w:val="32"/>
          <w:szCs w:val="32"/>
        </w:rPr>
        <w:t>省交通运输厅依据本办法及考评细则牵头组织实施考核评价工作。省交通运输厅可根据每年重点工作和实际情况对考评细则进行优化调整。</w:t>
      </w:r>
    </w:p>
    <w:p>
      <w:pPr>
        <w:overflowPunct w:val="0"/>
        <w:topLinePunct/>
        <w:spacing w:line="580" w:lineRule="exact"/>
        <w:ind w:firstLine="629" w:firstLineChars="196"/>
        <w:rPr>
          <w:rFonts w:ascii="仿宋_GB2312" w:hAnsi="新宋体" w:eastAsia="仿宋_GB2312"/>
          <w:color w:val="000000"/>
          <w:sz w:val="32"/>
          <w:szCs w:val="32"/>
        </w:rPr>
      </w:pPr>
      <w:r>
        <w:rPr>
          <w:rFonts w:hint="eastAsia" w:ascii="仿宋_GB2312" w:hAnsi="新宋体" w:eastAsia="仿宋_GB2312"/>
          <w:b/>
          <w:color w:val="000000"/>
          <w:sz w:val="32"/>
          <w:szCs w:val="32"/>
        </w:rPr>
        <w:t xml:space="preserve">第十一条 </w:t>
      </w:r>
      <w:r>
        <w:rPr>
          <w:rFonts w:hint="eastAsia" w:ascii="仿宋_GB2312" w:hAnsi="新宋体" w:eastAsia="仿宋_GB2312"/>
          <w:color w:val="000000"/>
          <w:sz w:val="32"/>
          <w:szCs w:val="32"/>
        </w:rPr>
        <w:t>高速公路路况服务质量考核评价应当公开、公平、公正。具体可采取日常巡查、随机抽查、集中检查、第三方评价等多种方式，广泛发动社会各界参与，并通过网络、广播电视等多种方式及时向社会公开考核评价结果，自觉接受社会和有关各方的监督。</w:t>
      </w:r>
    </w:p>
    <w:p>
      <w:pPr>
        <w:overflowPunct w:val="0"/>
        <w:topLinePunct/>
        <w:spacing w:line="580" w:lineRule="exact"/>
        <w:ind w:firstLine="627" w:firstLineChars="196"/>
        <w:rPr>
          <w:rFonts w:ascii="仿宋_GB2312" w:hAnsi="新宋体" w:eastAsia="仿宋_GB2312"/>
          <w:color w:val="000000"/>
          <w:sz w:val="32"/>
          <w:szCs w:val="32"/>
        </w:rPr>
      </w:pPr>
      <w:r>
        <w:rPr>
          <w:rFonts w:hint="eastAsia" w:ascii="仿宋_GB2312" w:hAnsi="新宋体" w:eastAsia="仿宋_GB2312"/>
          <w:color w:val="000000"/>
          <w:sz w:val="32"/>
          <w:szCs w:val="32"/>
        </w:rPr>
        <w:t>省交通运输厅应于每年度组织一次全面考评，根据本办法及其考评细则制定具体考评方案，明确各责任部门职责，并在次年的3月完成考评，公布上一年度的考核评价结果。</w:t>
      </w:r>
    </w:p>
    <w:p>
      <w:pPr>
        <w:overflowPunct w:val="0"/>
        <w:topLinePunct/>
        <w:spacing w:line="580" w:lineRule="exact"/>
        <w:ind w:firstLine="629" w:firstLineChars="196"/>
        <w:rPr>
          <w:rFonts w:ascii="仿宋_GB2312" w:hAnsi="新宋体" w:eastAsia="仿宋_GB2312"/>
          <w:color w:val="000000"/>
          <w:sz w:val="32"/>
          <w:szCs w:val="32"/>
        </w:rPr>
      </w:pPr>
      <w:r>
        <w:rPr>
          <w:rFonts w:hint="eastAsia" w:ascii="仿宋_GB2312" w:hAnsi="新宋体" w:eastAsia="仿宋_GB2312"/>
          <w:b/>
          <w:color w:val="000000"/>
          <w:sz w:val="32"/>
          <w:szCs w:val="32"/>
        </w:rPr>
        <w:t xml:space="preserve">第十二条 </w:t>
      </w:r>
      <w:r>
        <w:rPr>
          <w:rFonts w:hint="eastAsia" w:ascii="仿宋_GB2312" w:hAnsi="新宋体" w:eastAsia="仿宋_GB2312"/>
          <w:color w:val="000000"/>
          <w:sz w:val="32"/>
          <w:szCs w:val="32"/>
        </w:rPr>
        <w:t>高速公路路况服务质量考核评价，经营性高速公路以每一单独签署特许经营合同的高速公路运营项目、政府还贷高速公路以省人民政府批准建设的每一相对独立的路段运营项目为一个独立的考核评价单元。</w:t>
      </w:r>
    </w:p>
    <w:p>
      <w:pPr>
        <w:overflowPunct w:val="0"/>
        <w:topLinePunct/>
        <w:spacing w:line="580" w:lineRule="exact"/>
        <w:ind w:firstLine="642" w:firstLineChars="200"/>
        <w:rPr>
          <w:rFonts w:ascii="仿宋_GB2312" w:hAnsi="新宋体" w:eastAsia="仿宋_GB2312"/>
          <w:color w:val="000000"/>
          <w:sz w:val="32"/>
          <w:szCs w:val="32"/>
        </w:rPr>
      </w:pPr>
      <w:r>
        <w:rPr>
          <w:rFonts w:hint="eastAsia" w:ascii="仿宋_GB2312" w:hAnsi="新宋体" w:eastAsia="仿宋_GB2312"/>
          <w:b/>
          <w:color w:val="000000"/>
          <w:sz w:val="32"/>
          <w:szCs w:val="32"/>
        </w:rPr>
        <w:t xml:space="preserve">第十三条 </w:t>
      </w:r>
      <w:r>
        <w:rPr>
          <w:rFonts w:hint="eastAsia" w:ascii="仿宋_GB2312" w:hAnsi="新宋体" w:eastAsia="仿宋_GB2312"/>
          <w:color w:val="000000"/>
          <w:sz w:val="32"/>
          <w:szCs w:val="32"/>
        </w:rPr>
        <w:t>省交通运输厅按照高速公路路况服务质量考评结果，进行年度评价和排名。年度考评95分以上（含）的，为优秀；年度考评95以下80分以上（含）的，为合格；年度考评80分以下的，为不合格。</w:t>
      </w:r>
    </w:p>
    <w:p>
      <w:pPr>
        <w:overflowPunct w:val="0"/>
        <w:topLinePunct/>
        <w:spacing w:line="580" w:lineRule="exact"/>
        <w:ind w:firstLine="642" w:firstLineChars="200"/>
        <w:rPr>
          <w:rFonts w:ascii="仿宋_GB2312" w:hAnsi="新宋体" w:eastAsia="仿宋_GB2312"/>
          <w:bCs/>
          <w:color w:val="000000"/>
          <w:sz w:val="32"/>
          <w:szCs w:val="32"/>
        </w:rPr>
      </w:pPr>
      <w:r>
        <w:rPr>
          <w:rFonts w:hint="eastAsia" w:ascii="仿宋_GB2312" w:hAnsi="新宋体" w:eastAsia="仿宋_GB2312"/>
          <w:b/>
          <w:color w:val="000000"/>
          <w:sz w:val="32"/>
          <w:szCs w:val="32"/>
        </w:rPr>
        <w:t xml:space="preserve">第十四条 </w:t>
      </w:r>
      <w:r>
        <w:rPr>
          <w:rFonts w:hint="eastAsia" w:ascii="仿宋_GB2312" w:hAnsi="新宋体" w:eastAsia="仿宋_GB2312"/>
          <w:color w:val="000000"/>
          <w:sz w:val="32"/>
          <w:szCs w:val="32"/>
        </w:rPr>
        <w:t>年度考核评价优秀且排名全省前5名(含)的，省交通运输厅予以通报表扬，并向社会公示，除路况服务质量检查按相关规定进行外，该高速公路次年度可免于按本考评办法进行路况服务质量考评。年度考核评价不合格的，省交通运输厅进行约谈并限期整改，整改自省交通运输厅下发整改通知之日起3个月内完成，特殊情况需要延长整改期的，应当提前向省交通运输厅汇报并提供相关证明材料，经省交通运输厅批准后，应在经批准的延长整改期间内完成整改。整改期限届满，省交通运输厅对整改结果进行验收。验收不合格的，省交通运输厅可以责令二次整改，二次整改自省交通运输厅下发整改通知之日起1个月内完成。二次整改期限届满，省交通运输厅再次进行验收。验收不合格的，报经省人民政府批准后，</w:t>
      </w:r>
      <w:r>
        <w:rPr>
          <w:rFonts w:hint="eastAsia" w:ascii="仿宋_GB2312" w:hAnsi="新宋体" w:eastAsia="仿宋_GB2312"/>
          <w:bCs/>
          <w:color w:val="000000"/>
          <w:sz w:val="32"/>
          <w:szCs w:val="32"/>
        </w:rPr>
        <w:t>次年度按省人民政府批准的收费标准下浮车辆通行费，下浮不超过省人民政府原批复的收费标准基础上的5%（具体见考评细则），时间不超过一年。在下浮期间，高速公路经营管理者应当全面履行高速公路经营管理的义务，并承担相应的责任。</w:t>
      </w:r>
    </w:p>
    <w:p>
      <w:pPr>
        <w:overflowPunct w:val="0"/>
        <w:topLinePunct/>
        <w:spacing w:line="580" w:lineRule="exact"/>
        <w:ind w:firstLine="629" w:firstLineChars="196"/>
        <w:rPr>
          <w:rFonts w:ascii="仿宋_GB2312" w:hAnsi="新宋体" w:eastAsia="仿宋_GB2312"/>
          <w:color w:val="000000"/>
          <w:sz w:val="32"/>
          <w:szCs w:val="32"/>
        </w:rPr>
      </w:pPr>
      <w:r>
        <w:rPr>
          <w:rFonts w:hint="eastAsia" w:ascii="仿宋_GB2312" w:hAnsi="新宋体" w:eastAsia="仿宋_GB2312"/>
          <w:b/>
          <w:color w:val="000000"/>
          <w:sz w:val="32"/>
          <w:szCs w:val="32"/>
        </w:rPr>
        <w:t xml:space="preserve">第十五条 </w:t>
      </w:r>
      <w:r>
        <w:rPr>
          <w:rFonts w:hint="eastAsia" w:ascii="仿宋_GB2312" w:hAnsi="新宋体" w:eastAsia="仿宋_GB2312"/>
          <w:color w:val="000000"/>
          <w:sz w:val="32"/>
          <w:szCs w:val="32"/>
        </w:rPr>
        <w:t xml:space="preserve">有下列情形之一的高速公路，报经省人民政府批准后将其车辆通行费收费标准在省人民政府原批复的收费标准基础上下浮，最大下浮幅度不超过5%，期限不超过一年： </w:t>
      </w:r>
    </w:p>
    <w:p>
      <w:pPr>
        <w:overflowPunct w:val="0"/>
        <w:topLinePunct/>
        <w:spacing w:line="580" w:lineRule="exact"/>
        <w:ind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（一）因公路经营管理主体责任落实不到位导致发生重大及以上安全生产责任事故、安全生产险情的。</w:t>
      </w:r>
    </w:p>
    <w:p>
      <w:pPr>
        <w:overflowPunct w:val="0"/>
        <w:topLinePunct/>
        <w:spacing w:line="580" w:lineRule="exact"/>
        <w:ind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（二）因公路经营管理者原因导致交通拥堵或者因服务不规范，引发严重社会负面影响的。</w:t>
      </w:r>
    </w:p>
    <w:p>
      <w:pPr>
        <w:overflowPunct w:val="0"/>
        <w:topLinePunct/>
        <w:spacing w:line="580" w:lineRule="exact"/>
        <w:ind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（三）因公路经营管理者落实反恐、维稳主体责任不到位，导致发生暴恐案（事）件或严重维稳事件的。</w:t>
      </w:r>
    </w:p>
    <w:p>
      <w:pPr>
        <w:overflowPunct w:val="0"/>
        <w:topLinePunct/>
        <w:spacing w:line="580" w:lineRule="exact"/>
        <w:ind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（四）执行省交通运输厅收费监管、运行调度、超限超载规定要求工作不到位或应急处置不当，造成重大及以上事故等严重后果的。</w:t>
      </w:r>
    </w:p>
    <w:p>
      <w:pPr>
        <w:overflowPunct w:val="0"/>
        <w:topLinePunct/>
        <w:spacing w:line="600" w:lineRule="exact"/>
        <w:ind w:firstLine="642" w:firstLineChars="200"/>
        <w:rPr>
          <w:rFonts w:ascii="仿宋_GB2312" w:hAnsi="新宋体" w:eastAsia="仿宋_GB2312"/>
          <w:color w:val="000000"/>
          <w:sz w:val="32"/>
          <w:szCs w:val="32"/>
        </w:rPr>
      </w:pPr>
      <w:r>
        <w:rPr>
          <w:rFonts w:hint="eastAsia" w:ascii="仿宋_GB2312" w:hAnsi="新宋体" w:eastAsia="仿宋_GB2312"/>
          <w:b/>
          <w:color w:val="000000"/>
          <w:sz w:val="32"/>
          <w:szCs w:val="32"/>
        </w:rPr>
        <w:t xml:space="preserve">第十六条 </w:t>
      </w:r>
      <w:r>
        <w:rPr>
          <w:rFonts w:hint="eastAsia" w:ascii="仿宋_GB2312" w:hAnsi="新宋体" w:eastAsia="仿宋_GB2312"/>
          <w:color w:val="000000"/>
          <w:sz w:val="32"/>
          <w:szCs w:val="32"/>
        </w:rPr>
        <w:t>被考评高速公路同时存在多种下浮收费标准情形的，按照最大下浮幅度核定次年度收费标准。</w:t>
      </w:r>
    </w:p>
    <w:p>
      <w:pPr>
        <w:overflowPunct w:val="0"/>
        <w:topLinePunct/>
        <w:spacing w:line="600" w:lineRule="exact"/>
        <w:ind w:firstLine="629" w:firstLineChars="196"/>
        <w:rPr>
          <w:rFonts w:ascii="仿宋_GB2312" w:hAnsi="新宋体" w:eastAsia="仿宋_GB2312"/>
          <w:color w:val="000000"/>
          <w:sz w:val="32"/>
          <w:szCs w:val="32"/>
        </w:rPr>
      </w:pPr>
      <w:r>
        <w:rPr>
          <w:rFonts w:hint="eastAsia" w:ascii="仿宋_GB2312" w:hAnsi="新宋体" w:eastAsia="仿宋_GB2312"/>
          <w:b/>
          <w:color w:val="000000"/>
          <w:sz w:val="32"/>
          <w:szCs w:val="32"/>
        </w:rPr>
        <w:t xml:space="preserve">第十七条 </w:t>
      </w:r>
      <w:r>
        <w:rPr>
          <w:rFonts w:hint="eastAsia" w:ascii="仿宋_GB2312" w:hAnsi="新宋体" w:eastAsia="仿宋_GB2312"/>
          <w:color w:val="000000"/>
          <w:sz w:val="32"/>
          <w:szCs w:val="32"/>
        </w:rPr>
        <w:t>经省人民政府批准下浮高速公路车辆通行费收费标准后，省交通运输厅应当按照省人民政府批准的标准和实施时间组织实施，并在实施前向社会公示。下浮车辆通行费收费标准到期后，由省交通运输厅组织恢复原通行费收费标准，并在实施前向社会公示。</w:t>
      </w:r>
    </w:p>
    <w:p>
      <w:pPr>
        <w:shd w:val="clear" w:color="auto" w:fill="FFFFFF"/>
        <w:overflowPunct w:val="0"/>
        <w:topLinePunct/>
        <w:spacing w:before="156" w:beforeLines="50" w:after="156" w:afterLines="50" w:line="600" w:lineRule="exact"/>
        <w:jc w:val="center"/>
        <w:rPr>
          <w:rFonts w:ascii="新宋体" w:hAnsi="新宋体" w:eastAsia="黑体"/>
          <w:color w:val="000000"/>
          <w:sz w:val="32"/>
          <w:szCs w:val="32"/>
        </w:rPr>
      </w:pPr>
      <w:r>
        <w:rPr>
          <w:rFonts w:hint="eastAsia" w:ascii="新宋体" w:hAnsi="新宋体" w:eastAsia="黑体"/>
          <w:color w:val="000000"/>
          <w:sz w:val="32"/>
          <w:szCs w:val="32"/>
        </w:rPr>
        <w:t>第四章  监督管理</w:t>
      </w:r>
    </w:p>
    <w:p>
      <w:pPr>
        <w:overflowPunct w:val="0"/>
        <w:topLinePunct/>
        <w:spacing w:line="600" w:lineRule="exact"/>
        <w:ind w:firstLine="629" w:firstLineChars="196"/>
        <w:rPr>
          <w:rFonts w:ascii="仿宋_GB2312" w:hAnsi="新宋体" w:eastAsia="仿宋_GB2312"/>
          <w:color w:val="000000"/>
          <w:sz w:val="32"/>
          <w:szCs w:val="32"/>
        </w:rPr>
      </w:pPr>
      <w:r>
        <w:rPr>
          <w:rFonts w:hint="eastAsia" w:ascii="仿宋_GB2312" w:hAnsi="新宋体" w:eastAsia="仿宋_GB2312"/>
          <w:b/>
          <w:color w:val="000000"/>
          <w:sz w:val="32"/>
          <w:szCs w:val="32"/>
        </w:rPr>
        <w:t xml:space="preserve">第十八条 </w:t>
      </w:r>
      <w:r>
        <w:rPr>
          <w:rFonts w:hint="eastAsia" w:ascii="仿宋_GB2312" w:hAnsi="新宋体" w:eastAsia="仿宋_GB2312" w:cs="宋体"/>
          <w:color w:val="000000"/>
          <w:sz w:val="32"/>
          <w:szCs w:val="32"/>
        </w:rPr>
        <w:t>省交通运输厅和其他有关行政执法部门应依法加强监督管理，严格执法，督促</w:t>
      </w:r>
      <w:r>
        <w:rPr>
          <w:rFonts w:hint="eastAsia" w:ascii="仿宋_GB2312" w:hAnsi="新宋体" w:eastAsia="仿宋_GB2312"/>
          <w:color w:val="000000"/>
          <w:sz w:val="32"/>
          <w:szCs w:val="32"/>
        </w:rPr>
        <w:t>高速公路经营管理者</w:t>
      </w:r>
      <w:r>
        <w:rPr>
          <w:rFonts w:hint="eastAsia" w:ascii="仿宋_GB2312" w:hAnsi="新宋体" w:eastAsia="仿宋_GB2312" w:cs="宋体"/>
          <w:color w:val="000000"/>
          <w:kern w:val="0"/>
          <w:sz w:val="32"/>
          <w:szCs w:val="32"/>
        </w:rPr>
        <w:t>依法、全面、诚信履行</w:t>
      </w:r>
      <w:r>
        <w:rPr>
          <w:rFonts w:hint="eastAsia" w:ascii="仿宋_GB2312" w:hAnsi="新宋体" w:eastAsia="仿宋_GB2312" w:cs="Arial"/>
          <w:color w:val="000000"/>
          <w:sz w:val="32"/>
          <w:szCs w:val="32"/>
        </w:rPr>
        <w:t>特许经营合同和相关法律义务</w:t>
      </w:r>
      <w:r>
        <w:rPr>
          <w:rFonts w:hint="eastAsia" w:ascii="仿宋_GB2312" w:hAnsi="新宋体" w:eastAsia="仿宋_GB2312" w:cs="宋体"/>
          <w:color w:val="000000"/>
          <w:kern w:val="0"/>
          <w:sz w:val="32"/>
          <w:szCs w:val="32"/>
        </w:rPr>
        <w:t>，同时应为</w:t>
      </w:r>
      <w:r>
        <w:rPr>
          <w:rFonts w:hint="eastAsia" w:ascii="仿宋_GB2312" w:hAnsi="新宋体" w:eastAsia="仿宋_GB2312"/>
          <w:color w:val="000000"/>
          <w:sz w:val="32"/>
          <w:szCs w:val="32"/>
        </w:rPr>
        <w:t>高速公路经营管理者提升路况服务质量</w:t>
      </w:r>
      <w:r>
        <w:rPr>
          <w:rFonts w:hint="eastAsia" w:ascii="仿宋_GB2312" w:hAnsi="新宋体" w:eastAsia="仿宋_GB2312" w:cs="宋体"/>
          <w:color w:val="000000"/>
          <w:sz w:val="32"/>
          <w:szCs w:val="32"/>
        </w:rPr>
        <w:t>做好协调、服务工作</w:t>
      </w:r>
      <w:r>
        <w:rPr>
          <w:rFonts w:hint="eastAsia" w:ascii="仿宋_GB2312" w:hAnsi="新宋体" w:eastAsia="仿宋_GB2312"/>
          <w:color w:val="000000"/>
          <w:sz w:val="32"/>
          <w:szCs w:val="32"/>
        </w:rPr>
        <w:t>。</w:t>
      </w:r>
    </w:p>
    <w:p>
      <w:pPr>
        <w:overflowPunct w:val="0"/>
        <w:topLinePunct/>
        <w:spacing w:line="600" w:lineRule="exact"/>
        <w:ind w:firstLine="629" w:firstLineChars="196"/>
        <w:rPr>
          <w:rFonts w:ascii="仿宋_GB2312" w:hAnsi="新宋体" w:eastAsia="仿宋_GB2312" w:cs="宋体"/>
          <w:color w:val="000000"/>
          <w:sz w:val="32"/>
          <w:szCs w:val="32"/>
        </w:rPr>
      </w:pPr>
      <w:r>
        <w:rPr>
          <w:rFonts w:hint="eastAsia" w:ascii="仿宋_GB2312" w:hAnsi="新宋体" w:eastAsia="仿宋_GB2312"/>
          <w:b/>
          <w:color w:val="000000"/>
          <w:sz w:val="32"/>
          <w:szCs w:val="32"/>
        </w:rPr>
        <w:t xml:space="preserve">第十九条 </w:t>
      </w:r>
      <w:r>
        <w:rPr>
          <w:rFonts w:hint="eastAsia" w:ascii="仿宋_GB2312" w:hAnsi="新宋体" w:eastAsia="仿宋_GB2312"/>
          <w:color w:val="000000"/>
          <w:sz w:val="32"/>
          <w:szCs w:val="32"/>
        </w:rPr>
        <w:t>对推进高速公路路况服务质量考核评价工作中存在的重大、疑难问题，</w:t>
      </w:r>
      <w:r>
        <w:rPr>
          <w:rFonts w:hint="eastAsia" w:ascii="仿宋_GB2312" w:hAnsi="新宋体" w:eastAsia="仿宋_GB2312" w:cs="宋体"/>
          <w:color w:val="000000"/>
          <w:sz w:val="32"/>
          <w:szCs w:val="32"/>
        </w:rPr>
        <w:t>省交通运输厅会同省发展改革委、省财政厅研究解决；对其中全局性的重大事项，应及时将相关情况报告省人民政府。</w:t>
      </w:r>
    </w:p>
    <w:p>
      <w:pPr>
        <w:overflowPunct w:val="0"/>
        <w:topLinePunct/>
        <w:spacing w:line="600" w:lineRule="exact"/>
        <w:ind w:firstLine="629" w:firstLineChars="196"/>
        <w:rPr>
          <w:rFonts w:ascii="仿宋_GB2312" w:hAnsi="新宋体" w:eastAsia="仿宋_GB2312"/>
          <w:color w:val="000000"/>
          <w:sz w:val="32"/>
          <w:szCs w:val="32"/>
        </w:rPr>
      </w:pPr>
      <w:r>
        <w:rPr>
          <w:rFonts w:hint="eastAsia" w:ascii="仿宋_GB2312" w:hAnsi="新宋体" w:eastAsia="仿宋_GB2312"/>
          <w:b/>
          <w:color w:val="000000"/>
          <w:sz w:val="32"/>
          <w:szCs w:val="32"/>
        </w:rPr>
        <w:t xml:space="preserve">第二十条 </w:t>
      </w:r>
      <w:r>
        <w:rPr>
          <w:rFonts w:hint="eastAsia" w:ascii="仿宋_GB2312" w:hAnsi="新宋体" w:eastAsia="仿宋_GB2312"/>
          <w:color w:val="000000"/>
          <w:sz w:val="32"/>
          <w:szCs w:val="32"/>
        </w:rPr>
        <w:t>高速公路经营管理者对上年度路况服务质量考核评价年度得分结果有异议的，可向省交通运输厅申请复核；省交通运输厅应当听取高速公路经营管理者的陈述、申辩意见，并在15个工作日内按程序完成复核工作。</w:t>
      </w:r>
    </w:p>
    <w:p>
      <w:pPr>
        <w:shd w:val="clear" w:color="auto" w:fill="FFFFFF"/>
        <w:overflowPunct w:val="0"/>
        <w:topLinePunct/>
        <w:spacing w:before="156" w:beforeLines="50" w:after="156" w:afterLines="50" w:line="600" w:lineRule="exact"/>
        <w:jc w:val="center"/>
        <w:rPr>
          <w:rFonts w:ascii="新宋体" w:hAnsi="新宋体" w:eastAsia="黑体"/>
          <w:color w:val="000000"/>
          <w:sz w:val="32"/>
          <w:szCs w:val="32"/>
        </w:rPr>
      </w:pPr>
      <w:r>
        <w:rPr>
          <w:rFonts w:hint="eastAsia" w:ascii="新宋体" w:hAnsi="新宋体" w:eastAsia="黑体"/>
          <w:color w:val="000000"/>
          <w:sz w:val="32"/>
          <w:szCs w:val="32"/>
        </w:rPr>
        <w:t>第五章  附  则</w:t>
      </w:r>
    </w:p>
    <w:p>
      <w:pPr>
        <w:shd w:val="clear" w:color="auto" w:fill="FFFFFF"/>
        <w:overflowPunct w:val="0"/>
        <w:topLinePunct/>
        <w:spacing w:line="600" w:lineRule="exact"/>
        <w:ind w:firstLine="642" w:firstLineChars="200"/>
        <w:rPr>
          <w:rFonts w:ascii="仿宋_GB2312" w:hAnsi="新宋体" w:eastAsia="仿宋_GB2312"/>
          <w:color w:val="000000"/>
          <w:sz w:val="32"/>
          <w:szCs w:val="32"/>
        </w:rPr>
      </w:pPr>
      <w:r>
        <w:rPr>
          <w:rFonts w:hint="eastAsia" w:ascii="仿宋_GB2312" w:hAnsi="新宋体" w:eastAsia="仿宋_GB2312"/>
          <w:b/>
          <w:color w:val="000000"/>
          <w:sz w:val="32"/>
          <w:szCs w:val="32"/>
        </w:rPr>
        <w:t>第二十一条</w:t>
      </w:r>
      <w:r>
        <w:rPr>
          <w:rFonts w:hint="eastAsia" w:ascii="仿宋_GB2312" w:hAnsi="新宋体" w:eastAsia="仿宋_GB2312"/>
          <w:b/>
          <w:color w:val="000000"/>
          <w:sz w:val="32"/>
          <w:szCs w:val="32"/>
          <w:lang w:val="en"/>
        </w:rPr>
        <w:t xml:space="preserve"> </w:t>
      </w:r>
      <w:r>
        <w:rPr>
          <w:rFonts w:hint="eastAsia" w:ascii="仿宋_GB2312" w:hAnsi="新宋体" w:eastAsia="仿宋_GB2312"/>
          <w:color w:val="000000"/>
          <w:sz w:val="32"/>
          <w:szCs w:val="32"/>
        </w:rPr>
        <w:t>本办法自2023年11月16日起施行。</w:t>
      </w:r>
    </w:p>
    <w:p>
      <w:pPr>
        <w:shd w:val="clear" w:color="auto" w:fill="FFFFFF"/>
        <w:overflowPunct w:val="0"/>
        <w:topLinePunct/>
        <w:spacing w:line="600" w:lineRule="exact"/>
        <w:ind w:firstLine="640" w:firstLineChars="200"/>
        <w:rPr>
          <w:rFonts w:ascii="仿宋_GB2312" w:hAnsi="新宋体" w:eastAsia="仿宋_GB2312"/>
          <w:color w:val="000000"/>
          <w:sz w:val="32"/>
          <w:szCs w:val="32"/>
        </w:rPr>
      </w:pPr>
    </w:p>
    <w:p>
      <w:pPr>
        <w:pStyle w:val="9"/>
        <w:overflowPunct w:val="0"/>
        <w:topLinePunct/>
        <w:spacing w:line="600" w:lineRule="exact"/>
        <w:ind w:firstLine="640"/>
        <w:rPr>
          <w:rFonts w:ascii="仿宋_GB2312" w:hAnsi="新宋体" w:eastAsia="仿宋_GB2312" w:cs="Times New Roman"/>
          <w:color w:val="000000"/>
          <w:sz w:val="32"/>
          <w:szCs w:val="32"/>
        </w:rPr>
      </w:pPr>
      <w:r>
        <w:rPr>
          <w:rFonts w:hint="eastAsia" w:ascii="仿宋_GB2312" w:hAnsi="新宋体" w:eastAsia="仿宋_GB2312" w:cs="Times New Roman"/>
          <w:color w:val="000000"/>
          <w:sz w:val="32"/>
          <w:szCs w:val="32"/>
        </w:rPr>
        <w:t>附件：湖南省高速公路路况服务质量考核评价细则</w:t>
      </w:r>
    </w:p>
    <w:p>
      <w:pPr>
        <w:pStyle w:val="9"/>
        <w:spacing w:line="600" w:lineRule="exact"/>
        <w:ind w:firstLine="640"/>
        <w:rPr>
          <w:rFonts w:ascii="新宋体" w:hAnsi="新宋体" w:eastAsia="仿宋_GB2312" w:cs="Times New Roman"/>
          <w:color w:val="000000"/>
          <w:sz w:val="32"/>
          <w:szCs w:val="32"/>
        </w:rPr>
      </w:pPr>
    </w:p>
    <w:p>
      <w:pPr>
        <w:pStyle w:val="9"/>
        <w:spacing w:line="600" w:lineRule="exact"/>
        <w:ind w:firstLine="0" w:firstLineChars="0"/>
        <w:rPr>
          <w:rFonts w:ascii="新宋体" w:hAnsi="新宋体" w:eastAsia="仿宋_GB2312" w:cs="Times New Roman"/>
          <w:color w:val="000000"/>
          <w:sz w:val="32"/>
          <w:szCs w:val="32"/>
        </w:rPr>
      </w:pPr>
    </w:p>
    <w:p>
      <w:pPr>
        <w:rPr>
          <w:rFonts w:ascii="仿宋_GB2312" w:eastAsia="仿宋_GB2312"/>
          <w:sz w:val="32"/>
        </w:rPr>
        <w:sectPr>
          <w:footerReference r:id="rId3" w:type="default"/>
          <w:footerReference r:id="rId4" w:type="even"/>
          <w:pgSz w:w="11906" w:h="16838"/>
          <w:pgMar w:top="2098" w:right="1588" w:bottom="1928" w:left="1588" w:header="851" w:footer="1701" w:gutter="0"/>
          <w:cols w:space="425" w:num="1"/>
          <w:docGrid w:type="lines" w:linePitch="312" w:charSpace="0"/>
        </w:sectPr>
      </w:pPr>
    </w:p>
    <w:tbl>
      <w:tblPr>
        <w:tblStyle w:val="5"/>
        <w:tblW w:w="15168" w:type="dxa"/>
        <w:jc w:val="center"/>
        <w:tblLayout w:type="autofit"/>
        <w:tblCellMar>
          <w:top w:w="0" w:type="dxa"/>
          <w:left w:w="108" w:type="dxa"/>
          <w:bottom w:w="0" w:type="dxa"/>
          <w:right w:w="108" w:type="dxa"/>
        </w:tblCellMar>
      </w:tblPr>
      <w:tblGrid>
        <w:gridCol w:w="1120"/>
        <w:gridCol w:w="1235"/>
        <w:gridCol w:w="742"/>
        <w:gridCol w:w="3544"/>
        <w:gridCol w:w="837"/>
        <w:gridCol w:w="6075"/>
        <w:gridCol w:w="1615"/>
      </w:tblGrid>
      <w:tr>
        <w:tblPrEx>
          <w:tblCellMar>
            <w:top w:w="0" w:type="dxa"/>
            <w:left w:w="108" w:type="dxa"/>
            <w:bottom w:w="0" w:type="dxa"/>
            <w:right w:w="108" w:type="dxa"/>
          </w:tblCellMar>
        </w:tblPrEx>
        <w:trPr>
          <w:trHeight w:val="290" w:hRule="atLeast"/>
          <w:jc w:val="center"/>
        </w:trPr>
        <w:tc>
          <w:tcPr>
            <w:tcW w:w="2355" w:type="dxa"/>
            <w:gridSpan w:val="2"/>
            <w:tcBorders>
              <w:top w:val="nil"/>
              <w:left w:val="nil"/>
              <w:bottom w:val="nil"/>
              <w:right w:val="nil"/>
            </w:tcBorders>
            <w:shd w:val="clear" w:color="auto" w:fill="auto"/>
            <w:noWrap/>
            <w:vAlign w:val="center"/>
          </w:tcPr>
          <w:p>
            <w:pPr>
              <w:spacing w:line="480" w:lineRule="exact"/>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w:t>
            </w:r>
          </w:p>
        </w:tc>
        <w:tc>
          <w:tcPr>
            <w:tcW w:w="742"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p>
        </w:tc>
        <w:tc>
          <w:tcPr>
            <w:tcW w:w="3544" w:type="dxa"/>
            <w:tcBorders>
              <w:top w:val="nil"/>
              <w:left w:val="nil"/>
              <w:bottom w:val="nil"/>
              <w:right w:val="nil"/>
            </w:tcBorders>
            <w:shd w:val="clear" w:color="auto" w:fill="auto"/>
            <w:vAlign w:val="center"/>
          </w:tcPr>
          <w:p>
            <w:pPr>
              <w:widowControl/>
              <w:jc w:val="center"/>
              <w:rPr>
                <w:rFonts w:ascii="宋体" w:hAnsi="宋体" w:cs="宋体"/>
                <w:color w:val="000000"/>
                <w:kern w:val="0"/>
                <w:sz w:val="22"/>
                <w:szCs w:val="22"/>
              </w:rPr>
            </w:pPr>
          </w:p>
        </w:tc>
        <w:tc>
          <w:tcPr>
            <w:tcW w:w="837"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p>
        </w:tc>
        <w:tc>
          <w:tcPr>
            <w:tcW w:w="6075"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p>
        </w:tc>
        <w:tc>
          <w:tcPr>
            <w:tcW w:w="1615" w:type="dxa"/>
            <w:tcBorders>
              <w:top w:val="nil"/>
              <w:left w:val="nil"/>
              <w:bottom w:val="nil"/>
              <w:right w:val="nil"/>
            </w:tcBorders>
            <w:shd w:val="clear" w:color="auto" w:fill="auto"/>
            <w:vAlign w:val="center"/>
          </w:tcPr>
          <w:p>
            <w:pPr>
              <w:widowControl/>
              <w:jc w:val="center"/>
              <w:rPr>
                <w:rFonts w:ascii="仿宋_GB2312" w:hAnsi="宋体" w:eastAsia="仿宋_GB2312" w:cs="宋体"/>
                <w:color w:val="000000"/>
                <w:kern w:val="0"/>
                <w:sz w:val="22"/>
                <w:szCs w:val="22"/>
              </w:rPr>
            </w:pPr>
          </w:p>
        </w:tc>
      </w:tr>
      <w:tr>
        <w:tblPrEx>
          <w:tblCellMar>
            <w:top w:w="0" w:type="dxa"/>
            <w:left w:w="108" w:type="dxa"/>
            <w:bottom w:w="0" w:type="dxa"/>
            <w:right w:w="108" w:type="dxa"/>
          </w:tblCellMar>
        </w:tblPrEx>
        <w:trPr>
          <w:trHeight w:val="524" w:hRule="atLeast"/>
          <w:jc w:val="center"/>
        </w:trPr>
        <w:tc>
          <w:tcPr>
            <w:tcW w:w="15168" w:type="dxa"/>
            <w:gridSpan w:val="7"/>
            <w:tcBorders>
              <w:top w:val="nil"/>
              <w:left w:val="nil"/>
              <w:bottom w:val="single" w:color="auto" w:sz="4" w:space="0"/>
              <w:right w:val="nil"/>
            </w:tcBorders>
            <w:shd w:val="clear" w:color="auto" w:fill="auto"/>
            <w:noWrap/>
            <w:vAlign w:val="center"/>
          </w:tcPr>
          <w:p>
            <w:pPr>
              <w:spacing w:line="560" w:lineRule="exact"/>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40"/>
                <w:szCs w:val="36"/>
              </w:rPr>
              <w:t>湖南省高速公路路况服务质量考核评价细则</w:t>
            </w:r>
          </w:p>
        </w:tc>
      </w:tr>
      <w:tr>
        <w:tblPrEx>
          <w:tblCellMar>
            <w:top w:w="0" w:type="dxa"/>
            <w:left w:w="108" w:type="dxa"/>
            <w:bottom w:w="0" w:type="dxa"/>
            <w:right w:w="108" w:type="dxa"/>
          </w:tblCellMar>
        </w:tblPrEx>
        <w:trPr>
          <w:trHeight w:val="366" w:hRule="atLeast"/>
          <w:jc w:val="center"/>
        </w:trPr>
        <w:tc>
          <w:tcPr>
            <w:tcW w:w="23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评价项目</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序号</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评价内容</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分值</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评分标准（满分100分）</w:t>
            </w:r>
          </w:p>
        </w:tc>
        <w:tc>
          <w:tcPr>
            <w:tcW w:w="161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职责分工</w:t>
            </w:r>
          </w:p>
        </w:tc>
      </w:tr>
      <w:tr>
        <w:tblPrEx>
          <w:tblCellMar>
            <w:top w:w="0" w:type="dxa"/>
            <w:left w:w="108" w:type="dxa"/>
            <w:bottom w:w="0" w:type="dxa"/>
            <w:right w:w="108" w:type="dxa"/>
          </w:tblCellMar>
        </w:tblPrEx>
        <w:trPr>
          <w:trHeight w:val="4538" w:hRule="atLeast"/>
          <w:jc w:val="center"/>
        </w:trPr>
        <w:tc>
          <w:tcPr>
            <w:tcW w:w="11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1.路况</w:t>
            </w:r>
          </w:p>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养护</w:t>
            </w:r>
          </w:p>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（30分）</w:t>
            </w: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1.1公路技术状况</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①技术状况检测和自动采集率100%。</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②公路技术状况指数：主线：公路技术状况指数MQI≥93,路面技术状况指数PQI≥93,PQI优等路率≥95。连接线：路面技术状况指数PQI、PQI优良等路率满足连接线所在市州对应的路况目标要求。</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③按照公路养护技术规范要求开展日常养护，保持良好的路容路貌和路况水平。</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备注：已移交地方政府管养、已停止收费或属性变更为城管路段的路段不纳入考核范围。</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10</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60" w:lineRule="exact"/>
              <w:rPr>
                <w:rFonts w:ascii="仿宋_GB2312" w:hAnsi="宋体" w:eastAsia="仿宋_GB2312" w:cs="宋体"/>
                <w:kern w:val="0"/>
                <w:sz w:val="24"/>
              </w:rPr>
            </w:pPr>
            <w:r>
              <w:rPr>
                <w:rFonts w:hint="eastAsia" w:ascii="仿宋_GB2312" w:hAnsi="宋体" w:eastAsia="仿宋_GB2312" w:cs="宋体"/>
                <w:kern w:val="0"/>
                <w:sz w:val="24"/>
              </w:rPr>
              <w:t>①据高速公路自检和省级技术状况抽检结果按省政府批复的收费路段进行计分。未采用自动化检测设备开展路面技术状况自检工作的，直接计0分。自检里程（含上下行，施工路段、灾害路段及缺陷责任期路段除外）与收费里程相比，每差1个百分点扣1分，扣完为止。公路技术状况指数MQI内容全面，路基、桥梁、隧道、沿线设施每缺1项扣2分。路面技术状况指数PQI内容全面，路面损坏、路面平整度、路面车辙每缺1项扣2分。优等路率未达标准，每项扣2分。连接线路面损坏、路面平整度、每缺1项扣2分，连接线优良等路率未满足连接线所在市州对应的路况目标要求，每项扣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路基路面、桥、涵、隧、交通安全设施等未及时进行日常养护，路容路貌较差或存在影响行车安全的风险隐患，每发现1处扣0.2分。因上述养护工作不及时、不到位导致安全事故的，每次扣3分；或受到省政府及主管部门督办、约谈、通报的每次扣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上述事项最多扣10分。</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路况养护考评由省交通运输厅负责养护管理的处室牵头,省公路事务中心具体承担。</w:t>
            </w:r>
          </w:p>
        </w:tc>
      </w:tr>
      <w:tr>
        <w:tblPrEx>
          <w:tblCellMar>
            <w:top w:w="0" w:type="dxa"/>
            <w:left w:w="108" w:type="dxa"/>
            <w:bottom w:w="0" w:type="dxa"/>
            <w:right w:w="108" w:type="dxa"/>
          </w:tblCellMar>
        </w:tblPrEx>
        <w:trPr>
          <w:trHeight w:val="2391" w:hRule="atLeast"/>
          <w:jc w:val="center"/>
        </w:trPr>
        <w:tc>
          <w:tcPr>
            <w:tcW w:w="11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1.2桥隧技术状况</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①按现行规范要求开展桥梁隧道检查和技术状况评定工作，桥梁和隧道保持良好技术状况，一、二类桥梁比例≥98%；</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②当年危桥（四类、五类）处治率为100%；当年危隧（四类、五类）处治率为100%。</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60" w:lineRule="exact"/>
              <w:rPr>
                <w:rFonts w:ascii="仿宋_GB2312" w:hAnsi="宋体" w:eastAsia="仿宋_GB2312" w:cs="宋体"/>
                <w:kern w:val="0"/>
                <w:sz w:val="24"/>
              </w:rPr>
            </w:pPr>
            <w:r>
              <w:rPr>
                <w:rFonts w:hint="eastAsia" w:ascii="仿宋_GB2312" w:hAnsi="宋体" w:eastAsia="仿宋_GB2312" w:cs="宋体"/>
                <w:kern w:val="0"/>
                <w:sz w:val="24"/>
              </w:rPr>
              <w:t>①</w:t>
            </w:r>
            <w:r>
              <w:rPr>
                <w:rFonts w:hint="eastAsia" w:ascii="仿宋_GB2312" w:hAnsi="宋体" w:eastAsia="仿宋_GB2312" w:cs="宋体"/>
                <w:spacing w:val="-4"/>
                <w:w w:val="98"/>
                <w:kern w:val="0"/>
                <w:sz w:val="24"/>
              </w:rPr>
              <w:t>按部省要求开展桥隧技术状况检测，未开展每项扣0.1分。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桥隧总体技术状况，根据高速公路自检和省级组织的技术状况监测结果评分，一、二类桥梁比例大于98%；当年危桥（四类、五类）处治率为100%；当年危隧（四类、五类）处治率为100%。未达到上述标准每项扣0.1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③省级监测发现四类、五类桥梁和四类、五类隧道，每座扣1分；发现三类桥梁和隧道且当年未安排维修计划，每座扣0.2分。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上述事项最多扣5分。</w:t>
            </w:r>
          </w:p>
        </w:tc>
        <w:tc>
          <w:tcPr>
            <w:tcW w:w="1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p>
        </w:tc>
      </w:tr>
      <w:tr>
        <w:tblPrEx>
          <w:tblCellMar>
            <w:top w:w="0" w:type="dxa"/>
            <w:left w:w="108" w:type="dxa"/>
            <w:bottom w:w="0" w:type="dxa"/>
            <w:right w:w="108" w:type="dxa"/>
          </w:tblCellMar>
        </w:tblPrEx>
        <w:trPr>
          <w:trHeight w:val="422" w:hRule="atLeast"/>
          <w:jc w:val="center"/>
        </w:trPr>
        <w:tc>
          <w:tcPr>
            <w:tcW w:w="23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评价项目</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序号</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评价内容</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分值</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评分标准（满分100分）</w:t>
            </w:r>
          </w:p>
        </w:tc>
        <w:tc>
          <w:tcPr>
            <w:tcW w:w="161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职责分工</w:t>
            </w:r>
          </w:p>
        </w:tc>
      </w:tr>
      <w:tr>
        <w:tblPrEx>
          <w:tblCellMar>
            <w:top w:w="0" w:type="dxa"/>
            <w:left w:w="108" w:type="dxa"/>
            <w:bottom w:w="0" w:type="dxa"/>
            <w:right w:w="108" w:type="dxa"/>
          </w:tblCellMar>
        </w:tblPrEx>
        <w:trPr>
          <w:trHeight w:val="3290" w:hRule="atLeast"/>
          <w:jc w:val="center"/>
        </w:trPr>
        <w:tc>
          <w:tcPr>
            <w:tcW w:w="11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1.路况</w:t>
            </w:r>
          </w:p>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养护</w:t>
            </w:r>
          </w:p>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（30分）</w:t>
            </w: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pacing w:val="-8"/>
                <w:w w:val="90"/>
                <w:kern w:val="0"/>
                <w:sz w:val="24"/>
              </w:rPr>
            </w:pPr>
            <w:r>
              <w:rPr>
                <w:rFonts w:hint="eastAsia" w:ascii="仿宋_GB2312" w:hAnsi="宋体" w:eastAsia="仿宋_GB2312" w:cs="宋体"/>
                <w:spacing w:val="-8"/>
                <w:w w:val="90"/>
                <w:kern w:val="0"/>
                <w:sz w:val="24"/>
              </w:rPr>
              <w:t>1.3专项和重点任务</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每年根据部、省养护管理重点工作部署，针对如隧道隐患整治、危旧桥梁改造、事故多发路段优化整治、限速标准调整、养护智能化试点工程等专项任务，及时编制专项实施方案，落实组织机构和资金，规范完成设计、造价审查与批复等前期工作，按期完成部、省下达的任务，确保工程质量优良。</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①根据高速公路经营管理单位对专项任务工程的评估报告进行评分，评估不合格的，每个项目扣0.1分。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②抽查专项工程项目，基本建设程序不完善、内业资料不齐全的，每项扣0.1分。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③专项任务未按时完成或质量不合格或被部、省通报的，每项扣0.5分。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上述事项最多扣5分。</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路况养护考评由省交通运输厅负责养护管理的处室牵头,省公路事务中心具体承担。</w:t>
            </w:r>
          </w:p>
        </w:tc>
      </w:tr>
      <w:tr>
        <w:tblPrEx>
          <w:tblCellMar>
            <w:top w:w="0" w:type="dxa"/>
            <w:left w:w="108" w:type="dxa"/>
            <w:bottom w:w="0" w:type="dxa"/>
            <w:right w:w="108" w:type="dxa"/>
          </w:tblCellMar>
        </w:tblPrEx>
        <w:trPr>
          <w:trHeight w:val="2697" w:hRule="atLeast"/>
          <w:jc w:val="center"/>
        </w:trPr>
        <w:tc>
          <w:tcPr>
            <w:tcW w:w="11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1.4治理能力评价</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根据国省道综合养护管理能力提升“双评双促”专项行动中治理能力评价考核细则进行评分，主要包含科学决策、养护工程及统计、养护市场、应急管理、路网保通、通行服务、公路隐患</w:t>
            </w:r>
            <w:r>
              <w:rPr>
                <w:rFonts w:hint="eastAsia" w:ascii="仿宋_GB2312" w:hAnsi="宋体" w:eastAsia="仿宋_GB2312" w:cs="宋体"/>
                <w:spacing w:val="-8"/>
                <w:w w:val="99"/>
                <w:kern w:val="0"/>
                <w:sz w:val="24"/>
              </w:rPr>
              <w:t>整治专项行动、路容路貌、智</w:t>
            </w:r>
            <w:r>
              <w:rPr>
                <w:rFonts w:hint="eastAsia" w:ascii="仿宋_GB2312" w:hAnsi="宋体" w:eastAsia="仿宋_GB2312" w:cs="宋体"/>
                <w:kern w:val="0"/>
                <w:sz w:val="24"/>
              </w:rPr>
              <w:t>慧养护、信息报送等内容。</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根据国省道综合养护管理能力提升“双评双促”专项行动中治理能力评价情况进行打分。得分达到治理能力评价总分80%的，得基础分5分，剩余2分根据排名内插计分。</w:t>
            </w:r>
          </w:p>
        </w:tc>
        <w:tc>
          <w:tcPr>
            <w:tcW w:w="1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686" w:hRule="atLeast"/>
          <w:jc w:val="center"/>
        </w:trPr>
        <w:tc>
          <w:tcPr>
            <w:tcW w:w="11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1.5社会评价</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结合养护综合管理能力“双评双促”专项行动，以高速公路服务对象有效投诉为基本依据，采取反向扣分。</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高速公路经营管理单位每有一起核查属实的有效投诉扣0.2分，总分3分，扣完为止。</w:t>
            </w:r>
          </w:p>
        </w:tc>
        <w:tc>
          <w:tcPr>
            <w:tcW w:w="1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66" w:hRule="atLeast"/>
          <w:jc w:val="center"/>
        </w:trPr>
        <w:tc>
          <w:tcPr>
            <w:tcW w:w="23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评价项目</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序号</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评价内容</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分值</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评分标准（满分100分）</w:t>
            </w:r>
          </w:p>
        </w:tc>
        <w:tc>
          <w:tcPr>
            <w:tcW w:w="161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职责分工</w:t>
            </w:r>
          </w:p>
        </w:tc>
      </w:tr>
      <w:tr>
        <w:tblPrEx>
          <w:tblCellMar>
            <w:top w:w="0" w:type="dxa"/>
            <w:left w:w="108" w:type="dxa"/>
            <w:bottom w:w="0" w:type="dxa"/>
            <w:right w:w="108" w:type="dxa"/>
          </w:tblCellMar>
        </w:tblPrEx>
        <w:trPr>
          <w:trHeight w:val="3999" w:hRule="atLeast"/>
          <w:jc w:val="center"/>
        </w:trPr>
        <w:tc>
          <w:tcPr>
            <w:tcW w:w="11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2.服务区服务（20分）</w:t>
            </w: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2.1功能配置</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6</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ascii="仿宋_GB2312" w:hAnsi="宋体" w:eastAsia="仿宋_GB2312" w:cs="宋体"/>
                <w:kern w:val="0"/>
                <w:sz w:val="24"/>
              </w:rPr>
            </w:pPr>
            <w:r>
              <w:rPr>
                <w:rFonts w:hint="eastAsia" w:ascii="仿宋_GB2312" w:hAnsi="宋体" w:eastAsia="仿宋_GB2312" w:cs="宋体"/>
                <w:kern w:val="0"/>
                <w:sz w:val="24"/>
              </w:rPr>
              <w:t>服务区具备停车、如厕、加油、加水、充电（气）桩（站）、餐厅、超市、长途客运司机休息室等服务功能。有完善的污水处理设施和排污系统，且排污达标。</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ascii="仿宋_GB2312" w:hAnsi="宋体" w:eastAsia="仿宋_GB2312" w:cs="宋体"/>
                <w:kern w:val="0"/>
                <w:sz w:val="24"/>
              </w:rPr>
            </w:pPr>
            <w:r>
              <w:rPr>
                <w:rFonts w:hint="eastAsia" w:ascii="仿宋_GB2312" w:hAnsi="宋体" w:eastAsia="仿宋_GB2312" w:cs="宋体"/>
                <w:kern w:val="0"/>
                <w:sz w:val="24"/>
              </w:rPr>
              <w:t>①服务区不具备停车、如厕、加油、加水、充电、餐厅、超市、凌晨2点至5点长途客运司机休息室等功能的，每缺一项扣0.1分，本小项最多扣1分；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②无垃圾处理、污水处理设施的扣3分；垃圾处理、污水处理设施不能正常运转的扣2分；污水、油污排放不达标的扣1分；垃圾处理、油污处理纳入市政管网并能提供证明材料的此项不扣分。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③所属服务区因污水处理问题受到环保部门通报批评的，每次扣0.2分，本小项最多扣1分。</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宋体" w:eastAsia="仿宋_GB2312" w:cs="宋体"/>
                <w:kern w:val="0"/>
                <w:sz w:val="24"/>
              </w:rPr>
            </w:pPr>
            <w:r>
              <w:rPr>
                <w:rFonts w:hint="eastAsia" w:ascii="仿宋_GB2312" w:hAnsi="宋体" w:eastAsia="仿宋_GB2312" w:cs="宋体"/>
                <w:kern w:val="0"/>
                <w:sz w:val="24"/>
              </w:rPr>
              <w:t>服务区服务考评由省交通运输厅负责路政管理的处室牵头。考核主要依据为暗访考核结果。省公路事务中心配合。</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各市州交通运输局根据日常监督情况，参照考评细则，将辖区内高速公路符合扣分的情况反馈省交通运输厅，省交通运输厅一并纳入考核成绩。</w:t>
            </w:r>
          </w:p>
        </w:tc>
      </w:tr>
      <w:tr>
        <w:tblPrEx>
          <w:tblCellMar>
            <w:top w:w="0" w:type="dxa"/>
            <w:left w:w="108" w:type="dxa"/>
            <w:bottom w:w="0" w:type="dxa"/>
            <w:right w:w="108" w:type="dxa"/>
          </w:tblCellMar>
        </w:tblPrEx>
        <w:trPr>
          <w:trHeight w:val="3684" w:hRule="atLeast"/>
          <w:jc w:val="center"/>
        </w:trPr>
        <w:tc>
          <w:tcPr>
            <w:tcW w:w="112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2.2服务水平</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ascii="仿宋_GB2312" w:hAnsi="宋体" w:eastAsia="仿宋_GB2312" w:cs="宋体"/>
                <w:kern w:val="0"/>
                <w:sz w:val="24"/>
              </w:rPr>
            </w:pPr>
            <w:r>
              <w:rPr>
                <w:rFonts w:hint="eastAsia" w:ascii="仿宋_GB2312" w:hAnsi="宋体" w:eastAsia="仿宋_GB2312" w:cs="宋体"/>
                <w:kern w:val="0"/>
                <w:sz w:val="24"/>
              </w:rPr>
              <w:t>根据《湖南省高速公路服务区管理暗访考核要求及评分标准》，对服务区卫生管理、厕所管理、绿化管理、公益服务管理、餐饮超市管理、加油管理、汽修管理等服务水平进行暗访督查考评。对司乘人员满意度进行问卷调查。</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ascii="仿宋_GB2312" w:hAnsi="宋体" w:eastAsia="仿宋_GB2312" w:cs="宋体"/>
                <w:kern w:val="0"/>
                <w:sz w:val="24"/>
              </w:rPr>
            </w:pPr>
            <w:r>
              <w:rPr>
                <w:rFonts w:hint="eastAsia" w:ascii="仿宋_GB2312" w:hAnsi="宋体" w:eastAsia="仿宋_GB2312" w:cs="宋体"/>
                <w:kern w:val="0"/>
                <w:sz w:val="24"/>
              </w:rPr>
              <w:t>①辖区内服务区全部达到合格线的计满分，每有一对服务区不合格按不合格服务区数量占服务区总数比例折算计分。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②暗访结果通报中要求限期整改的服务区，不按要求整改的，每一对扣1分，扣完5分上限分值为止。</w:t>
            </w:r>
          </w:p>
        </w:tc>
        <w:tc>
          <w:tcPr>
            <w:tcW w:w="161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cs="宋体"/>
                <w:kern w:val="0"/>
                <w:sz w:val="24"/>
              </w:rPr>
            </w:pPr>
          </w:p>
        </w:tc>
      </w:tr>
      <w:tr>
        <w:tblPrEx>
          <w:tblCellMar>
            <w:top w:w="0" w:type="dxa"/>
            <w:left w:w="108" w:type="dxa"/>
            <w:bottom w:w="0" w:type="dxa"/>
            <w:right w:w="108" w:type="dxa"/>
          </w:tblCellMar>
        </w:tblPrEx>
        <w:trPr>
          <w:trHeight w:val="422" w:hRule="atLeast"/>
          <w:jc w:val="center"/>
        </w:trPr>
        <w:tc>
          <w:tcPr>
            <w:tcW w:w="235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评价项目</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序号</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评价内容</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分值</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评分标准（满分100分）</w:t>
            </w:r>
          </w:p>
        </w:tc>
        <w:tc>
          <w:tcPr>
            <w:tcW w:w="16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职责分工</w:t>
            </w:r>
          </w:p>
        </w:tc>
      </w:tr>
      <w:tr>
        <w:tblPrEx>
          <w:tblCellMar>
            <w:top w:w="0" w:type="dxa"/>
            <w:left w:w="108" w:type="dxa"/>
            <w:bottom w:w="0" w:type="dxa"/>
            <w:right w:w="108" w:type="dxa"/>
          </w:tblCellMar>
        </w:tblPrEx>
        <w:trPr>
          <w:trHeight w:val="6934" w:hRule="atLeast"/>
          <w:jc w:val="center"/>
        </w:trPr>
        <w:tc>
          <w:tcPr>
            <w:tcW w:w="11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2.服务区服务（20分）</w:t>
            </w: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2.3安全管理</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服务区应积极配合参与相关部门组织的安保和反恐专项行动和消防应急演练，消防设施配备齐全，加强特殊时期疫情防控工作，各项安全应急管理制度健全。无安全事故发生。</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60" w:lineRule="exact"/>
              <w:rPr>
                <w:rFonts w:ascii="仿宋_GB2312" w:hAnsi="宋体" w:eastAsia="仿宋_GB2312" w:cs="宋体"/>
                <w:kern w:val="0"/>
                <w:sz w:val="24"/>
              </w:rPr>
            </w:pPr>
            <w:r>
              <w:rPr>
                <w:rFonts w:hint="eastAsia" w:ascii="仿宋_GB2312" w:hAnsi="宋体" w:eastAsia="仿宋_GB2312" w:cs="宋体"/>
                <w:kern w:val="0"/>
                <w:sz w:val="24"/>
              </w:rPr>
              <w:t>①交通安全(1分):停车区域无保安值守或保安未引导停车，发现一例扣0.2分；服务区未实行封闭管理，发现一处扣0.5分。本小项最多扣1分；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②消防安全和反恐演练(1分):公共区消防器材未配备齐全、损坏或过期，发现一处扣0.2分；服务区每年至少开展一次消防安全和反恐安保应急演练，未开展的扣0.5分。本小项最多扣1分；                                                                            ③安保设施(1分):进出口、前坪、停车区域、餐厅、超市、加油站及厕所门口未设电子监控设施，少一处扣0.1分；监控设施有破损、缺失，监控图像不清晰，未按规定（1周）保存监控资料，发现一处扣0.1分。本小项最多扣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④应急管理制度(1分):服务区无重大节假日应急管理制度(含服务区管理人员制度、安保人员管理制度、保洁人员管理制度)，每缺一项扣0.1分；重大节假日无履职记录或未按应急管理制度履职的，每发现一处扣0.2分。本小项最多扣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⑤食品安全(1分):发生食品安全问题或事件，经查证属实的，每次扣0.2分。本小项最多扣1分；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⑥特殊时期疫情防控管理(1分):一线工作人员未佩戴口罩发现1例扣0.1分；未定期消毒，无消毒管理日志的，发现一处扣0.1分。本小项最多扣1分；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⑦安全事故(2分):因服务区经营管理问题导致的一般及</w:t>
            </w:r>
            <w:r>
              <w:rPr>
                <w:rFonts w:hint="eastAsia" w:ascii="仿宋_GB2312" w:hAnsi="宋体" w:eastAsia="仿宋_GB2312" w:cs="宋体"/>
                <w:spacing w:val="-2"/>
                <w:kern w:val="0"/>
                <w:sz w:val="24"/>
              </w:rPr>
              <w:t>以上安全事故，每起扣0.5分；发生较大事故的，每起扣1分，扣完为止。发生重特大安全生产事故实行一票否决。</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服务区服务考评由省交通运输厅负责路政管理的处室牵头。考核主要依据为暗访考核结果。省公路事务中心配合。</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各市州交通运输局根据日常监督情况，参照考评细则，将辖区内高速公路符合扣分的情况反馈省交通运输厅，省交通运输厅一并纳入考核成绩。</w:t>
            </w:r>
          </w:p>
        </w:tc>
      </w:tr>
      <w:tr>
        <w:tblPrEx>
          <w:tblCellMar>
            <w:top w:w="0" w:type="dxa"/>
            <w:left w:w="108" w:type="dxa"/>
            <w:bottom w:w="0" w:type="dxa"/>
            <w:right w:w="108" w:type="dxa"/>
          </w:tblCellMar>
        </w:tblPrEx>
        <w:trPr>
          <w:trHeight w:val="838" w:hRule="atLeast"/>
          <w:jc w:val="center"/>
        </w:trPr>
        <w:tc>
          <w:tcPr>
            <w:tcW w:w="112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2.4社会评价</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9</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不发生因服务区经营管理原因的有效投诉和社会舆情。</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发生因服务区经营管理不善引起的投诉，经查证属实的，每起扣0.2分。扣完为止。</w:t>
            </w:r>
          </w:p>
        </w:tc>
        <w:tc>
          <w:tcPr>
            <w:tcW w:w="161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22" w:hRule="atLeast"/>
          <w:jc w:val="center"/>
        </w:trPr>
        <w:tc>
          <w:tcPr>
            <w:tcW w:w="235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评价项目</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序号</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评价内容</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分值</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评分标准（满分100分）</w:t>
            </w:r>
          </w:p>
        </w:tc>
        <w:tc>
          <w:tcPr>
            <w:tcW w:w="16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职责分工</w:t>
            </w:r>
          </w:p>
        </w:tc>
      </w:tr>
      <w:tr>
        <w:tblPrEx>
          <w:tblCellMar>
            <w:top w:w="0" w:type="dxa"/>
            <w:left w:w="108" w:type="dxa"/>
            <w:bottom w:w="0" w:type="dxa"/>
            <w:right w:w="108" w:type="dxa"/>
          </w:tblCellMar>
        </w:tblPrEx>
        <w:trPr>
          <w:trHeight w:val="2398" w:hRule="atLeast"/>
          <w:jc w:val="center"/>
        </w:trPr>
        <w:tc>
          <w:tcPr>
            <w:tcW w:w="11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3.收费服务</w:t>
            </w:r>
          </w:p>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（10分)</w:t>
            </w:r>
          </w:p>
        </w:tc>
        <w:tc>
          <w:tcPr>
            <w:tcW w:w="12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3.1依法文明收费</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10</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①认真贯彻落实国、省收费政策和行业规范要求；</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②定期组织学习收费相关政策和行业规范（每年组织全员学习</w:t>
            </w:r>
            <w:r>
              <w:rPr>
                <w:rFonts w:hint="eastAsia" w:ascii="仿宋_GB2312" w:hAnsi="宋体" w:eastAsia="仿宋_GB2312" w:cs="宋体"/>
                <w:spacing w:val="-4"/>
                <w:w w:val="99"/>
                <w:kern w:val="0"/>
                <w:sz w:val="24"/>
              </w:rPr>
              <w:t>不少于两次，学习情况要有记录）；</w:t>
            </w:r>
            <w:r>
              <w:rPr>
                <w:rFonts w:hint="eastAsia" w:ascii="仿宋_GB2312" w:hAnsi="宋体" w:eastAsia="仿宋_GB2312" w:cs="宋体"/>
                <w:kern w:val="0"/>
                <w:sz w:val="24"/>
              </w:rPr>
              <w:t xml:space="preserve">                              ③及时传达上级通知、会议精神（传达情况要有记录），并落实有关要求。</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①未落实国、省收费政策和行业规范要求的，每次扣0.5分；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w:t>
            </w:r>
            <w:r>
              <w:rPr>
                <w:rFonts w:hint="eastAsia" w:ascii="仿宋_GB2312" w:hAnsi="宋体" w:eastAsia="仿宋_GB2312" w:cs="宋体"/>
                <w:spacing w:val="-4"/>
                <w:kern w:val="0"/>
                <w:sz w:val="24"/>
              </w:rPr>
              <w:t xml:space="preserve">未定期组织学习收费政策和行业管理规范的，扣0.5分；                                       </w:t>
            </w:r>
            <w:r>
              <w:rPr>
                <w:rFonts w:hint="eastAsia" w:ascii="仿宋_GB2312" w:hAnsi="宋体" w:eastAsia="仿宋_GB2312" w:cs="宋体"/>
                <w:spacing w:val="-4"/>
                <w:kern w:val="0"/>
                <w:sz w:val="24"/>
              </w:rPr>
              <w:br w:type="textWrapping"/>
            </w:r>
            <w:r>
              <w:rPr>
                <w:rFonts w:hint="eastAsia" w:ascii="仿宋_GB2312" w:hAnsi="宋体" w:eastAsia="仿宋_GB2312" w:cs="宋体"/>
                <w:spacing w:val="-4"/>
                <w:kern w:val="0"/>
                <w:sz w:val="24"/>
              </w:rPr>
              <w:t>③未及时传达和落实上级通知、会议精神的，一例扣0.1分；</w:t>
            </w:r>
            <w:r>
              <w:rPr>
                <w:rFonts w:hint="eastAsia" w:ascii="仿宋_GB2312" w:hAnsi="宋体" w:eastAsia="仿宋_GB2312" w:cs="宋体"/>
                <w:spacing w:val="-4"/>
                <w:kern w:val="0"/>
                <w:sz w:val="24"/>
              </w:rPr>
              <w:br w:type="textWrapping"/>
            </w:r>
            <w:r>
              <w:rPr>
                <w:rFonts w:hint="eastAsia" w:ascii="仿宋_GB2312" w:hAnsi="宋体" w:eastAsia="仿宋_GB2312" w:cs="宋体"/>
                <w:kern w:val="0"/>
                <w:sz w:val="24"/>
              </w:rPr>
              <w:t>本项分值扣完为止。</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收费服务考评由省交通运输厅负责财务管理的处室牵头，厅科教处、省公路事务中心、厅科技信息中心配合，省高速公路联网收费中心具体组织实施。</w:t>
            </w:r>
          </w:p>
        </w:tc>
      </w:tr>
      <w:tr>
        <w:tblPrEx>
          <w:tblCellMar>
            <w:top w:w="0" w:type="dxa"/>
            <w:left w:w="108" w:type="dxa"/>
            <w:bottom w:w="0" w:type="dxa"/>
            <w:right w:w="108" w:type="dxa"/>
          </w:tblCellMar>
        </w:tblPrEx>
        <w:trPr>
          <w:trHeight w:val="1539" w:hRule="atLeast"/>
          <w:jc w:val="center"/>
        </w:trPr>
        <w:tc>
          <w:tcPr>
            <w:tcW w:w="112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11</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①收费人员熟练掌握收费操作流程；</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②收费人员要统一着装，挂牌上岗，使用文明用语。</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w:t>
            </w:r>
            <w:r>
              <w:rPr>
                <w:rFonts w:hint="eastAsia" w:ascii="仿宋_GB2312" w:hAnsi="宋体" w:eastAsia="仿宋_GB2312" w:cs="宋体"/>
                <w:spacing w:val="-12"/>
                <w:w w:val="97"/>
                <w:kern w:val="0"/>
                <w:sz w:val="24"/>
              </w:rPr>
              <w:t>收费人员不按规定流程操作造成通行费流失的，一例扣0.2分；</w:t>
            </w:r>
            <w:r>
              <w:rPr>
                <w:rFonts w:hint="eastAsia" w:ascii="仿宋_GB2312" w:hAnsi="宋体" w:eastAsia="仿宋_GB2312" w:cs="宋体"/>
                <w:kern w:val="0"/>
                <w:sz w:val="24"/>
              </w:rPr>
              <w:t xml:space="preserve">                                                                  ②收费人员收费行为不规范或处理问题不得当等引发有效投诉和负面舆情的，一例扣0.2分；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③收费人员未统一着装，挂牌上岗的，每人次扣0.1分；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本项分值扣完为止。</w:t>
            </w:r>
          </w:p>
        </w:tc>
        <w:tc>
          <w:tcPr>
            <w:tcW w:w="161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2127" w:hRule="atLeast"/>
          <w:jc w:val="center"/>
        </w:trPr>
        <w:tc>
          <w:tcPr>
            <w:tcW w:w="112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c>
          <w:tcPr>
            <w:tcW w:w="12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3.2收费管理规范</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12</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①建立健全收费管理、收费稽查、收费系统维护和收费软件及数据检查制度，以及收费人员职责、收费操作规程和收费站保畅方案等；</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②收费信息管理规范。</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①收费管理、收费稽查、收费系统维护和收费软件及数据检查制度，收费操作流程和收费站保畅方案不健全，收费人员职责未明确的，缺一项扣0.1分；</w:t>
            </w:r>
            <w:r>
              <w:rPr>
                <w:rFonts w:hint="eastAsia" w:ascii="仿宋_GB2312" w:hAnsi="宋体" w:eastAsia="仿宋_GB2312" w:cs="宋体"/>
                <w:kern w:val="0"/>
                <w:sz w:val="24"/>
              </w:rPr>
              <w:br w:type="textWrapping"/>
            </w:r>
            <w:r>
              <w:rPr>
                <w:rFonts w:hint="eastAsia" w:ascii="仿宋_GB2312" w:hAnsi="宋体" w:eastAsia="仿宋_GB2312" w:cs="宋体"/>
                <w:spacing w:val="-12"/>
                <w:w w:val="98"/>
                <w:kern w:val="0"/>
                <w:sz w:val="24"/>
              </w:rPr>
              <w:t>②收费信息登记统计不规范、不完整、不准确的，一例扣0.1分；</w:t>
            </w:r>
            <w:r>
              <w:rPr>
                <w:rFonts w:hint="eastAsia" w:ascii="仿宋_GB2312" w:hAnsi="宋体" w:eastAsia="仿宋_GB2312" w:cs="宋体"/>
                <w:kern w:val="0"/>
                <w:sz w:val="24"/>
              </w:rPr>
              <w:t xml:space="preserve">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③报送收费信息或数据不完整、不及时、不准确的，一例扣0.1分。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本项分值扣完为止。</w:t>
            </w:r>
          </w:p>
        </w:tc>
        <w:tc>
          <w:tcPr>
            <w:tcW w:w="161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832" w:hRule="atLeast"/>
          <w:jc w:val="center"/>
        </w:trPr>
        <w:tc>
          <w:tcPr>
            <w:tcW w:w="112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13</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①严格执行通行费上缴规定，按时将现金通行费上缴至省高速公路通行费归集帐户。</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②严格落实收费稽查制度。</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①未按时将现金通行费上缴至省高速公路通行费归集帐户的，一次扣0.2分；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②擅自制作非联网收费归集账号收款二维码等，截留车辆通行费的，扣1分；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③收费稽查工作落实不到位的，一次扣0.2分；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本项分值扣完为止。</w:t>
            </w:r>
          </w:p>
        </w:tc>
        <w:tc>
          <w:tcPr>
            <w:tcW w:w="161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22" w:hRule="atLeast"/>
          <w:jc w:val="center"/>
        </w:trPr>
        <w:tc>
          <w:tcPr>
            <w:tcW w:w="235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评价项目</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序号</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评价内容</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分值</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评分标准（满分100分）</w:t>
            </w:r>
          </w:p>
        </w:tc>
        <w:tc>
          <w:tcPr>
            <w:tcW w:w="16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职责分工</w:t>
            </w:r>
          </w:p>
        </w:tc>
      </w:tr>
      <w:tr>
        <w:tblPrEx>
          <w:tblCellMar>
            <w:top w:w="0" w:type="dxa"/>
            <w:left w:w="108" w:type="dxa"/>
            <w:bottom w:w="0" w:type="dxa"/>
            <w:right w:w="108" w:type="dxa"/>
          </w:tblCellMar>
        </w:tblPrEx>
        <w:trPr>
          <w:trHeight w:val="1831" w:hRule="atLeast"/>
          <w:jc w:val="center"/>
        </w:trPr>
        <w:tc>
          <w:tcPr>
            <w:tcW w:w="11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3.收费服务</w:t>
            </w:r>
          </w:p>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（10分)</w:t>
            </w:r>
          </w:p>
        </w:tc>
        <w:tc>
          <w:tcPr>
            <w:tcW w:w="12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3.3服务质量优质</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14</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①收费标识清晰；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②收费场地干净整洁。</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spacing w:val="-12"/>
                <w:w w:val="98"/>
                <w:kern w:val="0"/>
                <w:sz w:val="24"/>
              </w:rPr>
              <w:t>①无收费公</w:t>
            </w:r>
            <w:r>
              <w:rPr>
                <w:rFonts w:hint="eastAsia" w:ascii="宋体" w:hAnsi="宋体" w:cs="宋体"/>
                <w:spacing w:val="-12"/>
                <w:w w:val="98"/>
                <w:kern w:val="0"/>
                <w:sz w:val="24"/>
              </w:rPr>
              <w:t>吿</w:t>
            </w:r>
            <w:r>
              <w:rPr>
                <w:rFonts w:hint="eastAsia" w:ascii="仿宋_GB2312" w:hAnsi="仿宋_GB2312" w:eastAsia="仿宋_GB2312" w:cs="仿宋_GB2312"/>
                <w:spacing w:val="-12"/>
                <w:w w:val="98"/>
                <w:kern w:val="0"/>
                <w:sz w:val="24"/>
              </w:rPr>
              <w:t>牌或公示信息不准确、不清晰的，一例扣</w:t>
            </w:r>
            <w:r>
              <w:rPr>
                <w:rFonts w:hint="eastAsia" w:ascii="仿宋_GB2312" w:hAnsi="宋体" w:eastAsia="仿宋_GB2312" w:cs="宋体"/>
                <w:spacing w:val="-12"/>
                <w:w w:val="98"/>
                <w:kern w:val="0"/>
                <w:sz w:val="24"/>
              </w:rPr>
              <w:t>0.1分；</w:t>
            </w:r>
            <w:r>
              <w:rPr>
                <w:rFonts w:hint="eastAsia" w:ascii="仿宋_GB2312" w:hAnsi="宋体" w:eastAsia="仿宋_GB2312" w:cs="宋体"/>
                <w:spacing w:val="-12"/>
                <w:w w:val="98"/>
                <w:kern w:val="0"/>
                <w:sz w:val="24"/>
              </w:rPr>
              <w:br w:type="textWrapping"/>
            </w:r>
            <w:r>
              <w:rPr>
                <w:rFonts w:hint="eastAsia" w:ascii="仿宋_GB2312" w:hAnsi="宋体" w:eastAsia="仿宋_GB2312" w:cs="宋体"/>
                <w:kern w:val="0"/>
                <w:sz w:val="24"/>
              </w:rPr>
              <w:t>②未按统一的标准规范设置“绿色通道”、ETC及手机支付车道标识或标识不清晰的，一例扣0.1分；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③同一收费站发现2处不干净整洁的扣0.1分；再发现一处扣0.05分，以此类推叠加扣分。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本项分值扣完为止。</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收费服务考评由省交通运输厅负责财务管理的处室牵头，厅科教处、省公路事务中心、厅科技信息中心配合，省高速公路联网收费中心具体组织实施。</w:t>
            </w:r>
          </w:p>
        </w:tc>
      </w:tr>
      <w:tr>
        <w:tblPrEx>
          <w:tblCellMar>
            <w:top w:w="0" w:type="dxa"/>
            <w:left w:w="108" w:type="dxa"/>
            <w:bottom w:w="0" w:type="dxa"/>
            <w:right w:w="108" w:type="dxa"/>
          </w:tblCellMar>
        </w:tblPrEx>
        <w:trPr>
          <w:trHeight w:val="3387" w:hRule="atLeast"/>
          <w:jc w:val="center"/>
        </w:trPr>
        <w:tc>
          <w:tcPr>
            <w:tcW w:w="112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15</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保持收费车道畅通。</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收费站未开通足够数量的收费车道导致堵塞，未启动应急预案，采取应急措施，导致车辆拥堵至主线影响车辆通行的，一例扣0.2分；年度拥堵累计时长大于60小时小于120小时（含）的扣0.1分，年度拥堵累计时长大于120小时小于160小时（含）的扣0.2分，年度拥堵累计时长160小时以上的扣0.3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②ETC车道未专道专用的一例扣0.1分；ETC车道未24小时开启并保持畅通的，一例扣 0.1分；ETC、手机支付车道未及时处理设施设备故障的，一例扣0.1 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③在重大节假日车流高峰期、重大活动期间，ETC车道无专人值守的,一例扣0.1分。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本项分值扣完为止。</w:t>
            </w:r>
          </w:p>
        </w:tc>
        <w:tc>
          <w:tcPr>
            <w:tcW w:w="161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2671" w:hRule="atLeast"/>
          <w:jc w:val="center"/>
        </w:trPr>
        <w:tc>
          <w:tcPr>
            <w:tcW w:w="112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c>
          <w:tcPr>
            <w:tcW w:w="1235" w:type="dxa"/>
            <w:tcBorders>
              <w:top w:val="single" w:color="auto" w:sz="4" w:space="0"/>
              <w:left w:val="nil"/>
              <w:bottom w:val="single" w:color="auto" w:sz="4" w:space="0"/>
              <w:right w:val="single" w:color="auto" w:sz="4" w:space="0"/>
            </w:tcBorders>
            <w:shd w:val="clear" w:color="000000" w:fill="FFFFFF"/>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3.4系统运营良好</w:t>
            </w:r>
          </w:p>
        </w:tc>
        <w:tc>
          <w:tcPr>
            <w:tcW w:w="742" w:type="dxa"/>
            <w:tcBorders>
              <w:top w:val="single" w:color="auto" w:sz="4" w:space="0"/>
              <w:left w:val="nil"/>
              <w:bottom w:val="single" w:color="auto" w:sz="4" w:space="0"/>
              <w:right w:val="single" w:color="auto" w:sz="4" w:space="0"/>
            </w:tcBorders>
            <w:shd w:val="clear" w:color="000000" w:fill="FFFFFF"/>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16</w:t>
            </w:r>
          </w:p>
        </w:tc>
        <w:tc>
          <w:tcPr>
            <w:tcW w:w="3544" w:type="dxa"/>
            <w:tcBorders>
              <w:top w:val="single" w:color="auto" w:sz="4" w:space="0"/>
              <w:left w:val="nil"/>
              <w:bottom w:val="single" w:color="auto" w:sz="4" w:space="0"/>
              <w:right w:val="single" w:color="auto" w:sz="4" w:space="0"/>
            </w:tcBorders>
            <w:shd w:val="clear" w:color="000000" w:fill="FFFFFF"/>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①收费系统符合联网收费技术要求，收费终端统一纳入防病毒软件管控平台,定期升级防病毒软件的病毒库。科学制定设备、软件、数据巡检计划，设备故障和维护记录清晰，收费设备备品备件满足要求；</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②按时完成收费设施、设备及系统的建设、改造 、升级任务。</w:t>
            </w:r>
          </w:p>
        </w:tc>
        <w:tc>
          <w:tcPr>
            <w:tcW w:w="837" w:type="dxa"/>
            <w:tcBorders>
              <w:top w:val="single" w:color="auto" w:sz="4" w:space="0"/>
              <w:left w:val="nil"/>
              <w:bottom w:val="single" w:color="auto" w:sz="4" w:space="0"/>
              <w:right w:val="single" w:color="auto" w:sz="4" w:space="0"/>
            </w:tcBorders>
            <w:shd w:val="clear" w:color="000000" w:fill="FFFFFF"/>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6075" w:type="dxa"/>
            <w:tcBorders>
              <w:top w:val="single" w:color="auto" w:sz="4" w:space="0"/>
              <w:left w:val="nil"/>
              <w:bottom w:val="single" w:color="auto" w:sz="4" w:space="0"/>
              <w:right w:val="single" w:color="auto" w:sz="4" w:space="0"/>
            </w:tcBorders>
            <w:shd w:val="clear" w:color="000000" w:fill="FFFFFF"/>
            <w:vAlign w:val="center"/>
          </w:tcPr>
          <w:p>
            <w:pPr>
              <w:spacing w:line="280" w:lineRule="exact"/>
              <w:rPr>
                <w:rFonts w:ascii="仿宋_GB2312" w:hAnsi="宋体" w:eastAsia="仿宋_GB2312" w:cs="宋体"/>
                <w:spacing w:val="-8"/>
                <w:kern w:val="0"/>
                <w:sz w:val="24"/>
              </w:rPr>
            </w:pPr>
            <w:r>
              <w:rPr>
                <w:rFonts w:hint="eastAsia" w:ascii="仿宋_GB2312" w:hAnsi="宋体" w:eastAsia="仿宋_GB2312" w:cs="宋体"/>
                <w:spacing w:val="-8"/>
                <w:kern w:val="0"/>
                <w:sz w:val="24"/>
              </w:rPr>
              <w:t xml:space="preserve">①收费车道硬件与软件不符合联网技术要求的，扣0.4分；                         </w:t>
            </w:r>
          </w:p>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 xml:space="preserve">②收费终端相关设备安装防病毒客户端，并统一纳入防病毒软件管控平台,定期升级防病毒软件的病毒库，未统一纳入防病毒软件管控平台的，扣0.1分；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③未制定对设备、软件、数据巡检计划的，扣0.2分；巡检记录不清晰的，扣0.1分；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④未按时完成年度收费设施、设备及系统的建设、改造、升级任务的，一项扣0.5分。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本项分值扣完为止。</w:t>
            </w:r>
          </w:p>
        </w:tc>
        <w:tc>
          <w:tcPr>
            <w:tcW w:w="1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p>
        </w:tc>
      </w:tr>
      <w:tr>
        <w:tblPrEx>
          <w:tblCellMar>
            <w:top w:w="0" w:type="dxa"/>
            <w:left w:w="108" w:type="dxa"/>
            <w:bottom w:w="0" w:type="dxa"/>
            <w:right w:w="108" w:type="dxa"/>
          </w:tblCellMar>
        </w:tblPrEx>
        <w:trPr>
          <w:trHeight w:val="422" w:hRule="atLeast"/>
          <w:jc w:val="center"/>
        </w:trPr>
        <w:tc>
          <w:tcPr>
            <w:tcW w:w="235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评价项目</w:t>
            </w:r>
          </w:p>
        </w:tc>
        <w:tc>
          <w:tcPr>
            <w:tcW w:w="742" w:type="dxa"/>
            <w:tcBorders>
              <w:top w:val="single" w:color="auto" w:sz="4" w:space="0"/>
              <w:left w:val="nil"/>
              <w:bottom w:val="single" w:color="auto" w:sz="4" w:space="0"/>
              <w:right w:val="single" w:color="auto" w:sz="4" w:space="0"/>
            </w:tcBorders>
            <w:shd w:val="clear" w:color="000000" w:fill="FFFFFF"/>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序号</w:t>
            </w:r>
          </w:p>
        </w:tc>
        <w:tc>
          <w:tcPr>
            <w:tcW w:w="3544" w:type="dxa"/>
            <w:tcBorders>
              <w:top w:val="single" w:color="auto" w:sz="4" w:space="0"/>
              <w:left w:val="nil"/>
              <w:bottom w:val="single" w:color="auto" w:sz="4" w:space="0"/>
              <w:right w:val="single" w:color="auto" w:sz="4" w:space="0"/>
            </w:tcBorders>
            <w:shd w:val="clear" w:color="000000" w:fill="FFFFFF"/>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评价内容</w:t>
            </w:r>
          </w:p>
        </w:tc>
        <w:tc>
          <w:tcPr>
            <w:tcW w:w="837" w:type="dxa"/>
            <w:tcBorders>
              <w:top w:val="single" w:color="auto" w:sz="4" w:space="0"/>
              <w:left w:val="nil"/>
              <w:bottom w:val="single" w:color="auto" w:sz="4" w:space="0"/>
              <w:right w:val="single" w:color="auto" w:sz="4" w:space="0"/>
            </w:tcBorders>
            <w:shd w:val="clear" w:color="000000" w:fill="FFFFFF"/>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分值</w:t>
            </w:r>
          </w:p>
        </w:tc>
        <w:tc>
          <w:tcPr>
            <w:tcW w:w="6075" w:type="dxa"/>
            <w:tcBorders>
              <w:top w:val="single" w:color="auto" w:sz="4" w:space="0"/>
              <w:left w:val="nil"/>
              <w:bottom w:val="single" w:color="auto" w:sz="4" w:space="0"/>
              <w:right w:val="single" w:color="auto" w:sz="4" w:space="0"/>
            </w:tcBorders>
            <w:shd w:val="clear" w:color="000000" w:fill="FFFFFF"/>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评分标准（满分100分）</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职责分工</w:t>
            </w:r>
          </w:p>
        </w:tc>
      </w:tr>
      <w:tr>
        <w:tblPrEx>
          <w:tblCellMar>
            <w:top w:w="0" w:type="dxa"/>
            <w:left w:w="108" w:type="dxa"/>
            <w:bottom w:w="0" w:type="dxa"/>
            <w:right w:w="108" w:type="dxa"/>
          </w:tblCellMar>
        </w:tblPrEx>
        <w:trPr>
          <w:trHeight w:val="980" w:hRule="atLeast"/>
          <w:jc w:val="center"/>
        </w:trPr>
        <w:tc>
          <w:tcPr>
            <w:tcW w:w="11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3.收费服务</w:t>
            </w:r>
          </w:p>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（10分)</w:t>
            </w:r>
          </w:p>
        </w:tc>
        <w:tc>
          <w:tcPr>
            <w:tcW w:w="12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3.4系统运营良好</w:t>
            </w:r>
          </w:p>
        </w:tc>
        <w:tc>
          <w:tcPr>
            <w:tcW w:w="742" w:type="dxa"/>
            <w:tcBorders>
              <w:top w:val="single" w:color="auto" w:sz="4" w:space="0"/>
              <w:left w:val="nil"/>
              <w:bottom w:val="single" w:color="auto" w:sz="4" w:space="0"/>
              <w:right w:val="single" w:color="auto" w:sz="4" w:space="0"/>
            </w:tcBorders>
            <w:shd w:val="clear" w:color="000000" w:fill="FFFFFF"/>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17</w:t>
            </w:r>
          </w:p>
        </w:tc>
        <w:tc>
          <w:tcPr>
            <w:tcW w:w="3544" w:type="dxa"/>
            <w:tcBorders>
              <w:top w:val="single" w:color="auto" w:sz="4" w:space="0"/>
              <w:left w:val="nil"/>
              <w:bottom w:val="single" w:color="auto" w:sz="4" w:space="0"/>
              <w:right w:val="single" w:color="auto" w:sz="4" w:space="0"/>
            </w:tcBorders>
            <w:shd w:val="clear" w:color="000000" w:fill="FFFFFF"/>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门架牌识设备识别率不低于90%,车道车牌识别率不低于90%。</w:t>
            </w:r>
          </w:p>
        </w:tc>
        <w:tc>
          <w:tcPr>
            <w:tcW w:w="837" w:type="dxa"/>
            <w:tcBorders>
              <w:top w:val="single" w:color="auto" w:sz="4" w:space="0"/>
              <w:left w:val="nil"/>
              <w:bottom w:val="single" w:color="auto" w:sz="4" w:space="0"/>
              <w:right w:val="single" w:color="auto" w:sz="4" w:space="0"/>
            </w:tcBorders>
            <w:shd w:val="clear" w:color="000000" w:fill="FFFFFF"/>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6075" w:type="dxa"/>
            <w:tcBorders>
              <w:top w:val="single" w:color="auto" w:sz="4" w:space="0"/>
              <w:left w:val="nil"/>
              <w:bottom w:val="single" w:color="auto" w:sz="4" w:space="0"/>
              <w:right w:val="single" w:color="auto" w:sz="4" w:space="0"/>
            </w:tcBorders>
            <w:shd w:val="clear" w:color="000000" w:fill="FFFFFF"/>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①门架牌识设备识别率低于90%的，每发生一例扣0.1分；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②车牌识别率低于90%的，每发生一例扣0.1分。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本项分值扣完为止。</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hAnsi="宋体" w:eastAsia="仿宋_GB2312" w:cs="宋体"/>
                <w:kern w:val="0"/>
                <w:sz w:val="24"/>
              </w:rPr>
            </w:pPr>
            <w:r>
              <w:rPr>
                <w:rFonts w:hint="eastAsia" w:ascii="仿宋_GB2312" w:hAnsi="宋体" w:eastAsia="仿宋_GB2312" w:cs="宋体"/>
                <w:kern w:val="0"/>
                <w:sz w:val="24"/>
              </w:rPr>
              <w:t>收费服务考评由省交通运输厅负责财务管理的处室牵头，厅科教处、省公路事务中心、厅科技信息中心配合，省高速公路联网收费中心</w:t>
            </w:r>
            <w:r>
              <w:rPr>
                <w:rFonts w:hint="eastAsia" w:ascii="仿宋_GB2312" w:hAnsi="宋体" w:eastAsia="仿宋_GB2312" w:cs="宋体"/>
                <w:spacing w:val="-12"/>
                <w:w w:val="98"/>
                <w:kern w:val="0"/>
                <w:sz w:val="24"/>
              </w:rPr>
              <w:t>具体组织实施。</w:t>
            </w:r>
          </w:p>
        </w:tc>
      </w:tr>
      <w:tr>
        <w:tblPrEx>
          <w:tblCellMar>
            <w:top w:w="0" w:type="dxa"/>
            <w:left w:w="108" w:type="dxa"/>
            <w:bottom w:w="0" w:type="dxa"/>
            <w:right w:w="108" w:type="dxa"/>
          </w:tblCellMar>
        </w:tblPrEx>
        <w:trPr>
          <w:trHeight w:val="1973" w:hRule="atLeast"/>
          <w:jc w:val="center"/>
        </w:trPr>
        <w:tc>
          <w:tcPr>
            <w:tcW w:w="112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c>
          <w:tcPr>
            <w:tcW w:w="123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c>
          <w:tcPr>
            <w:tcW w:w="742" w:type="dxa"/>
            <w:tcBorders>
              <w:top w:val="single" w:color="auto" w:sz="4" w:space="0"/>
              <w:left w:val="nil"/>
              <w:bottom w:val="single" w:color="auto" w:sz="4" w:space="0"/>
              <w:right w:val="single" w:color="auto" w:sz="4" w:space="0"/>
            </w:tcBorders>
            <w:shd w:val="clear" w:color="000000" w:fill="FFFFFF"/>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18</w:t>
            </w:r>
          </w:p>
        </w:tc>
        <w:tc>
          <w:tcPr>
            <w:tcW w:w="3544" w:type="dxa"/>
            <w:tcBorders>
              <w:top w:val="single" w:color="auto" w:sz="4" w:space="0"/>
              <w:left w:val="nil"/>
              <w:bottom w:val="single" w:color="auto" w:sz="4" w:space="0"/>
              <w:right w:val="single" w:color="auto" w:sz="4" w:space="0"/>
            </w:tcBorders>
            <w:shd w:val="clear" w:color="000000" w:fill="FFFFFF"/>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网络传输畅通，收费设备正常供电，确保收费数据及时上传。</w:t>
            </w:r>
          </w:p>
        </w:tc>
        <w:tc>
          <w:tcPr>
            <w:tcW w:w="837" w:type="dxa"/>
            <w:tcBorders>
              <w:top w:val="single" w:color="auto" w:sz="4" w:space="0"/>
              <w:left w:val="nil"/>
              <w:bottom w:val="single" w:color="auto" w:sz="4" w:space="0"/>
              <w:right w:val="single" w:color="auto" w:sz="4" w:space="0"/>
            </w:tcBorders>
            <w:shd w:val="clear" w:color="000000" w:fill="FFFFFF"/>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6075" w:type="dxa"/>
            <w:tcBorders>
              <w:top w:val="single" w:color="auto" w:sz="4" w:space="0"/>
              <w:left w:val="nil"/>
              <w:bottom w:val="single" w:color="auto" w:sz="4" w:space="0"/>
              <w:right w:val="single" w:color="auto" w:sz="4" w:space="0"/>
            </w:tcBorders>
            <w:shd w:val="clear" w:color="000000" w:fill="FFFFFF"/>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①除因维护计划、事故或其他不可抗力因素以外导致网络传输不畅通的，每例扣0.1分；                                                      ②除因维护计划、事故或其它不可抗力因素以外导致门架、收费车道断电、断网而又未及时修复的，每次扣0.2分。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本项分值扣完为止。</w:t>
            </w:r>
          </w:p>
        </w:tc>
        <w:tc>
          <w:tcPr>
            <w:tcW w:w="161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949"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pacing w:val="-12"/>
                <w:w w:val="98"/>
                <w:kern w:val="0"/>
                <w:sz w:val="24"/>
              </w:rPr>
            </w:pPr>
            <w:r>
              <w:rPr>
                <w:rFonts w:hint="eastAsia" w:ascii="仿宋_GB2312" w:hAnsi="宋体" w:eastAsia="仿宋_GB2312" w:cs="宋体"/>
                <w:kern w:val="0"/>
                <w:sz w:val="24"/>
              </w:rPr>
              <w:br w:type="textWrapping"/>
            </w:r>
            <w:r>
              <w:rPr>
                <w:rFonts w:hint="eastAsia" w:ascii="仿宋_GB2312" w:hAnsi="宋体" w:eastAsia="仿宋_GB2312" w:cs="宋体"/>
                <w:spacing w:val="-12"/>
                <w:w w:val="98"/>
                <w:kern w:val="0"/>
                <w:sz w:val="24"/>
              </w:rPr>
              <w:t>4.车辆救援服务</w:t>
            </w:r>
          </w:p>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（10分）</w:t>
            </w: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4.1标准化建设</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19</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场地建设、形象建设和人员设备配备达标，满足工作需要。</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①车辆救援服务站面积设置不满足实际工作需要的，每个扣0.2分；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②车辆救援服务站未配备≥5t小型平板运输车、≥5t小型平板清障车、≥30t中型清障车1台；配备或依法从外租赁≥50t大型清障车、≥50t汽车起重机和人员转运车辆（营运车辆）的，每少一项扣0.2分；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③实施救援服务的车辆每车未配备1名驾驶员和至少1名操作员的扣0.2分；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④车辆救援服务未实行统一的外观形象标识的扣0.2分；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⑤未在救援服务站公开场所公示救援服务收费项目和标准等相关服务信息的扣0.2分。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以上情形最多扣2分。</w:t>
            </w:r>
          </w:p>
        </w:tc>
        <w:tc>
          <w:tcPr>
            <w:tcW w:w="1615"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仿宋_GB2312" w:hAnsi="宋体" w:eastAsia="仿宋_GB2312" w:cs="宋体"/>
                <w:kern w:val="0"/>
                <w:sz w:val="24"/>
              </w:rPr>
            </w:pPr>
            <w:r>
              <w:rPr>
                <w:rFonts w:hint="eastAsia" w:ascii="仿宋_GB2312" w:hAnsi="宋体" w:eastAsia="仿宋_GB2312" w:cs="宋体"/>
                <w:kern w:val="0"/>
                <w:sz w:val="24"/>
              </w:rPr>
              <w:t>车辆救援服务考评由省交通运输厅负责路政管理的处室牵头，省公路事务中心具体承担。</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各市州交通运输局根据日常监督情况，参照考评细则，将辖区内高速公路符合扣分的情况反馈省交通运输厅，省交通运输厅一并纳入考核成绩。</w:t>
            </w:r>
          </w:p>
        </w:tc>
      </w:tr>
      <w:tr>
        <w:tblPrEx>
          <w:tblCellMar>
            <w:top w:w="0" w:type="dxa"/>
            <w:left w:w="108" w:type="dxa"/>
            <w:bottom w:w="0" w:type="dxa"/>
            <w:right w:w="108" w:type="dxa"/>
          </w:tblCellMar>
        </w:tblPrEx>
        <w:trPr>
          <w:trHeight w:val="422" w:hRule="atLeast"/>
          <w:jc w:val="center"/>
        </w:trPr>
        <w:tc>
          <w:tcPr>
            <w:tcW w:w="23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评价项目</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序号</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评价内容</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分值</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评分标准（满分100分）</w:t>
            </w:r>
          </w:p>
        </w:tc>
        <w:tc>
          <w:tcPr>
            <w:tcW w:w="161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职责分工</w:t>
            </w:r>
          </w:p>
        </w:tc>
      </w:tr>
      <w:tr>
        <w:tblPrEx>
          <w:tblCellMar>
            <w:top w:w="0" w:type="dxa"/>
            <w:left w:w="108" w:type="dxa"/>
            <w:bottom w:w="0" w:type="dxa"/>
            <w:right w:w="108" w:type="dxa"/>
          </w:tblCellMar>
        </w:tblPrEx>
        <w:trPr>
          <w:trHeight w:val="5295" w:hRule="atLeast"/>
          <w:jc w:val="center"/>
        </w:trPr>
        <w:tc>
          <w:tcPr>
            <w:tcW w:w="11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pacing w:val="-12"/>
                <w:w w:val="98"/>
                <w:kern w:val="0"/>
                <w:sz w:val="24"/>
              </w:rPr>
            </w:pPr>
            <w:r>
              <w:rPr>
                <w:rFonts w:hint="eastAsia" w:ascii="仿宋_GB2312" w:hAnsi="宋体" w:eastAsia="仿宋_GB2312" w:cs="宋体"/>
                <w:spacing w:val="-12"/>
                <w:w w:val="98"/>
                <w:kern w:val="0"/>
                <w:sz w:val="24"/>
              </w:rPr>
              <w:t>4.车辆救援服务</w:t>
            </w:r>
          </w:p>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（10分）</w:t>
            </w: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4.2规范化救援</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20</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按照车辆救援服务与操作流程，组织规范化救援。</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①无特殊情况，救援服务车辆白天未在5分钟内出动，夜间未在10分钟内出动的，或者出动后30分钟内未到达现场的（主线无交通拥堵或不可抗因素），每发现一例，扣0.2分，最多扣1分；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②一般情况下现场车辆救援服务时间不超过2小时（转货时间除外），每发现一例超过2小时扣0.2分，最多扣1分；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③违法拦截、查扣车辆，违法查扣证照或敲诈勒索、辱骂殴打服务对象的，每发现一例，扣0.2分，最多扣1分；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④强制修车或变相强制修车的，或者故意损坏、非法扣押被救援服务对象车辆、货物的，每发现一例，扣0.2分，扣完1分上限分值为止；</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⑤未遵守安全操作规程，或未按要求设置和撤除安全防护区域的，扣0.1分，最多扣0.5分；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⑥未按照国、省高速公路车辆救援服务的相关规定及规程，发生其他救援不规范行为的，每发现一例，扣0.1分，最多扣0.5分。</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车辆救援服务考评由省交通运输厅负责路政管理的处室牵头，省公路事务中心具体承担。</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各市州交通运输局根据日常监督情况，参照考评细则，将辖区内高速公路符合扣分的情况反馈省交通运输厅，省交通运输厅一并纳入考核成绩。</w:t>
            </w:r>
          </w:p>
        </w:tc>
      </w:tr>
      <w:tr>
        <w:tblPrEx>
          <w:tblCellMar>
            <w:top w:w="0" w:type="dxa"/>
            <w:left w:w="108" w:type="dxa"/>
            <w:bottom w:w="0" w:type="dxa"/>
            <w:right w:w="108" w:type="dxa"/>
          </w:tblCellMar>
        </w:tblPrEx>
        <w:trPr>
          <w:trHeight w:val="2321" w:hRule="atLeast"/>
          <w:jc w:val="center"/>
        </w:trPr>
        <w:tc>
          <w:tcPr>
            <w:tcW w:w="112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4.3优质化服务</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21</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按照国、省高速公路车辆救援服务与操作规程的规定，提供优质化服务，无有效的投诉，杜绝“天价”施救。</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①发生车辆救援负面舆情（省级以上主流媒体曝光），经查证属实的，扣3分；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②发生投诉事件并造成恶劣影响，经查证属实的，每次扣0.5分；路段车辆救援投诉率超过5%的，扣1分；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③经市场监管部门认定为违规收费的。每认定一例，扣0.2分。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以上累计扣分，扣完为止。</w:t>
            </w:r>
          </w:p>
        </w:tc>
        <w:tc>
          <w:tcPr>
            <w:tcW w:w="161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12" w:hRule="atLeast"/>
          <w:jc w:val="center"/>
        </w:trPr>
        <w:tc>
          <w:tcPr>
            <w:tcW w:w="235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评价项目</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序号</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评价内容</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分值</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评分标准（满分100分）</w:t>
            </w:r>
          </w:p>
        </w:tc>
        <w:tc>
          <w:tcPr>
            <w:tcW w:w="16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职责分工</w:t>
            </w:r>
          </w:p>
        </w:tc>
      </w:tr>
      <w:tr>
        <w:tblPrEx>
          <w:tblCellMar>
            <w:top w:w="0" w:type="dxa"/>
            <w:left w:w="108" w:type="dxa"/>
            <w:bottom w:w="0" w:type="dxa"/>
            <w:right w:w="108" w:type="dxa"/>
          </w:tblCellMar>
        </w:tblPrEx>
        <w:trPr>
          <w:trHeight w:val="1962" w:hRule="atLeast"/>
          <w:jc w:val="center"/>
        </w:trPr>
        <w:tc>
          <w:tcPr>
            <w:tcW w:w="11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spacing w:val="-12"/>
                <w:w w:val="98"/>
                <w:kern w:val="0"/>
                <w:sz w:val="24"/>
              </w:rPr>
              <w:t>5.车辆超限超载（</w:t>
            </w:r>
            <w:r>
              <w:rPr>
                <w:rFonts w:hint="eastAsia" w:ascii="仿宋_GB2312" w:hAnsi="宋体" w:eastAsia="仿宋_GB2312" w:cs="宋体"/>
                <w:kern w:val="0"/>
                <w:sz w:val="24"/>
              </w:rPr>
              <w:t>10分)</w:t>
            </w: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5.1入口称重检测设施</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22</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完成入口称重检测设施建设,检定合格,保障正常运行。入口称重数据应接入治超信息管理系统。</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①未按要求完成入口称重检测设施建设的，每发现一处扣0.2分；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②入口称重检测设施未经计量部门检定或检定不合格投入使用的或者未定期进行检定的, 每发现一处扣0.2分；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③因管理缺失导致检测设施不能正常运行的，每发现一处扣0.2分。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以上情形以3分为扣分上限，扣完为止。</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车辆超限超载考评由省交通运输厅负责路政管理的处室牵头，省公路事务中心具体承担。</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各市州交通运输局根据日常监督情况，参照考评细则，将辖区内高速公路符合扣分的情况反馈省交通运输厅，省交通运输厅一并纳入考核成绩。</w:t>
            </w:r>
          </w:p>
        </w:tc>
      </w:tr>
      <w:tr>
        <w:tblPrEx>
          <w:tblCellMar>
            <w:top w:w="0" w:type="dxa"/>
            <w:left w:w="108" w:type="dxa"/>
            <w:bottom w:w="0" w:type="dxa"/>
            <w:right w:w="108" w:type="dxa"/>
          </w:tblCellMar>
        </w:tblPrEx>
        <w:trPr>
          <w:trHeight w:val="2389" w:hRule="atLeast"/>
          <w:jc w:val="center"/>
        </w:trPr>
        <w:tc>
          <w:tcPr>
            <w:tcW w:w="112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5.2入口治超</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23</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高速公路经营管理单位应拒绝违法超限运输车辆驶入高速公路，实施入口劝返，并及时报告属地执法机构。</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①入口平均超限率（2分）：高速公路入口平均超限率控制在0.5%以内，高于0.5%扣2分。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②入口治超（1分）：在匝道收费站入口发现违法超限运输车辆未及时报告执法机构的，每发现一例扣0.2分，最多扣1分。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③入口治超数据联网（1分）：入口检查设施及其检测数据与治超信息管理系统未实现联网的, 每发现一处扣0.2分，最多扣1分。</w:t>
            </w:r>
          </w:p>
        </w:tc>
        <w:tc>
          <w:tcPr>
            <w:tcW w:w="161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17" w:hRule="atLeast"/>
          <w:jc w:val="center"/>
        </w:trPr>
        <w:tc>
          <w:tcPr>
            <w:tcW w:w="112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5.3社会舆情</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24</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社会反响较好，无有效投诉。</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①发生因超限超载引起的重大负面舆情，经查证属实的，每次扣0.3分；</w:t>
            </w:r>
            <w:r>
              <w:rPr>
                <w:rFonts w:hint="eastAsia" w:ascii="仿宋_GB2312" w:hAnsi="宋体" w:eastAsia="仿宋_GB2312" w:cs="宋体"/>
                <w:kern w:val="0"/>
                <w:sz w:val="24"/>
              </w:rPr>
              <w:br w:type="textWrapping"/>
            </w:r>
            <w:r>
              <w:rPr>
                <w:rFonts w:hint="eastAsia" w:ascii="仿宋_GB2312" w:hAnsi="宋体" w:eastAsia="仿宋_GB2312" w:cs="宋体"/>
                <w:spacing w:val="-12"/>
                <w:w w:val="98"/>
                <w:kern w:val="0"/>
                <w:sz w:val="24"/>
              </w:rPr>
              <w:t>②发生投诉事件并造成恶劣影响，经查证属实的，每次扣0.3分。</w:t>
            </w:r>
            <w:r>
              <w:rPr>
                <w:rFonts w:hint="eastAsia" w:ascii="仿宋_GB2312" w:hAnsi="宋体" w:eastAsia="仿宋_GB2312" w:cs="宋体"/>
                <w:spacing w:val="-12"/>
                <w:w w:val="98"/>
                <w:kern w:val="0"/>
                <w:sz w:val="24"/>
              </w:rPr>
              <w:br w:type="textWrapping"/>
            </w:r>
            <w:r>
              <w:rPr>
                <w:rFonts w:hint="eastAsia" w:ascii="仿宋_GB2312" w:hAnsi="宋体" w:eastAsia="仿宋_GB2312" w:cs="宋体"/>
                <w:kern w:val="0"/>
                <w:sz w:val="24"/>
              </w:rPr>
              <w:t>以上情形最多扣2分。</w:t>
            </w:r>
          </w:p>
        </w:tc>
        <w:tc>
          <w:tcPr>
            <w:tcW w:w="161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554" w:hRule="atLeast"/>
          <w:jc w:val="center"/>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pacing w:val="-12"/>
                <w:w w:val="98"/>
                <w:kern w:val="0"/>
                <w:sz w:val="24"/>
              </w:rPr>
            </w:pPr>
            <w:r>
              <w:rPr>
                <w:rFonts w:hint="eastAsia" w:ascii="仿宋_GB2312" w:hAnsi="宋体" w:eastAsia="仿宋_GB2312" w:cs="宋体"/>
                <w:spacing w:val="-12"/>
                <w:w w:val="98"/>
                <w:kern w:val="0"/>
                <w:sz w:val="24"/>
              </w:rPr>
              <w:t>6.路网运行监测</w:t>
            </w:r>
          </w:p>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（7分）</w:t>
            </w: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6.1疏堵保畅</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25</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做好日常及重大节假日疏堵保畅工作。</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因高速公路经营管理单位未制定重大节假日疏堵保畅预案、未采取有效措施防止路段拥堵导致发生以下情况的，按相应标准扣分：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①发生高速公路拥堵5公里以上的，一次扣0.2分；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②发生高速公路拥堵10公里以上的，一次扣0.5分；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③发生高速公路拥堵15公里以上的，一次扣1分；</w:t>
            </w:r>
            <w:r>
              <w:rPr>
                <w:rFonts w:hint="eastAsia" w:ascii="仿宋_GB2312" w:hAnsi="宋体" w:eastAsia="仿宋_GB2312" w:cs="宋体"/>
                <w:kern w:val="0"/>
                <w:sz w:val="24"/>
              </w:rPr>
              <w:br w:type="textWrapping"/>
            </w:r>
            <w:r>
              <w:rPr>
                <w:rFonts w:hint="eastAsia" w:ascii="仿宋_GB2312" w:hAnsi="宋体" w:eastAsia="仿宋_GB2312" w:cs="宋体"/>
                <w:spacing w:val="-10"/>
                <w:w w:val="98"/>
                <w:kern w:val="0"/>
                <w:sz w:val="24"/>
              </w:rPr>
              <w:t>④未按省厅要求如期完成重点拥堵路段整治的，一处扣0.5分。</w:t>
            </w:r>
            <w:r>
              <w:rPr>
                <w:rFonts w:hint="eastAsia" w:ascii="仿宋_GB2312" w:hAnsi="宋体" w:eastAsia="仿宋_GB2312" w:cs="宋体"/>
                <w:spacing w:val="-10"/>
                <w:w w:val="98"/>
                <w:kern w:val="0"/>
                <w:sz w:val="24"/>
              </w:rPr>
              <w:br w:type="textWrapping"/>
            </w:r>
            <w:r>
              <w:rPr>
                <w:rFonts w:hint="eastAsia" w:ascii="仿宋_GB2312" w:hAnsi="宋体" w:eastAsia="仿宋_GB2312" w:cs="宋体"/>
                <w:kern w:val="0"/>
                <w:sz w:val="24"/>
              </w:rPr>
              <w:t>以上情形最多扣2分。</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路网运行监测考评由省交通运输厅负责养护管理的处室牵头，厅信息中心配合。</w:t>
            </w:r>
          </w:p>
        </w:tc>
      </w:tr>
      <w:tr>
        <w:tblPrEx>
          <w:tblCellMar>
            <w:top w:w="0" w:type="dxa"/>
            <w:left w:w="108" w:type="dxa"/>
            <w:bottom w:w="0" w:type="dxa"/>
            <w:right w:w="108" w:type="dxa"/>
          </w:tblCellMar>
        </w:tblPrEx>
        <w:trPr>
          <w:trHeight w:val="412" w:hRule="atLeast"/>
          <w:jc w:val="center"/>
        </w:trPr>
        <w:tc>
          <w:tcPr>
            <w:tcW w:w="235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评价项目</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序号</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评价内容</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分值</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评分标准（满分100分）</w:t>
            </w:r>
          </w:p>
        </w:tc>
        <w:tc>
          <w:tcPr>
            <w:tcW w:w="16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职责分工</w:t>
            </w:r>
          </w:p>
        </w:tc>
      </w:tr>
      <w:tr>
        <w:tblPrEx>
          <w:tblCellMar>
            <w:top w:w="0" w:type="dxa"/>
            <w:left w:w="108" w:type="dxa"/>
            <w:bottom w:w="0" w:type="dxa"/>
            <w:right w:w="108" w:type="dxa"/>
          </w:tblCellMar>
        </w:tblPrEx>
        <w:trPr>
          <w:trHeight w:val="2954" w:hRule="atLeast"/>
          <w:jc w:val="center"/>
        </w:trPr>
        <w:tc>
          <w:tcPr>
            <w:tcW w:w="11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pacing w:val="-12"/>
                <w:w w:val="98"/>
                <w:kern w:val="0"/>
                <w:sz w:val="24"/>
              </w:rPr>
            </w:pPr>
            <w:r>
              <w:rPr>
                <w:rFonts w:hint="eastAsia" w:ascii="仿宋_GB2312" w:hAnsi="宋体" w:eastAsia="仿宋_GB2312" w:cs="宋体"/>
                <w:spacing w:val="-12"/>
                <w:w w:val="98"/>
                <w:kern w:val="0"/>
                <w:sz w:val="24"/>
              </w:rPr>
              <w:t>6.路网运行监测</w:t>
            </w:r>
          </w:p>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（7分）</w:t>
            </w: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6.2 路网运行监测</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26</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视频监控系统运行情况；视频监控系统运行管理制度；视频监控系统维护情况；视频监控系统数据共享情况；其他监测系统建设运行情况。</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60" w:lineRule="exact"/>
              <w:rPr>
                <w:rFonts w:ascii="仿宋_GB2312" w:hAnsi="宋体" w:eastAsia="仿宋_GB2312" w:cs="宋体"/>
                <w:kern w:val="0"/>
                <w:sz w:val="24"/>
              </w:rPr>
            </w:pPr>
            <w:r>
              <w:rPr>
                <w:rFonts w:hint="eastAsia" w:ascii="仿宋_GB2312" w:hAnsi="宋体" w:eastAsia="仿宋_GB2312" w:cs="宋体"/>
                <w:spacing w:val="-14"/>
                <w:w w:val="98"/>
                <w:kern w:val="0"/>
                <w:sz w:val="24"/>
              </w:rPr>
              <w:t>①未建立路网运行监测系统运行及维护管理维护制度的扣0.5分；</w:t>
            </w:r>
            <w:r>
              <w:rPr>
                <w:rFonts w:hint="eastAsia" w:ascii="仿宋_GB2312" w:hAnsi="宋体" w:eastAsia="仿宋_GB2312" w:cs="宋体"/>
                <w:spacing w:val="-14"/>
                <w:w w:val="98"/>
                <w:kern w:val="0"/>
                <w:sz w:val="24"/>
              </w:rPr>
              <w:br w:type="textWrapping"/>
            </w:r>
            <w:r>
              <w:rPr>
                <w:rFonts w:hint="eastAsia" w:ascii="仿宋_GB2312" w:hAnsi="宋体" w:eastAsia="仿宋_GB2312" w:cs="宋体"/>
                <w:spacing w:val="-8"/>
                <w:kern w:val="0"/>
                <w:sz w:val="24"/>
              </w:rPr>
              <w:t>②未实现重点路段、重要桥隧视频监控全覆盖的，扣0.5分；</w:t>
            </w:r>
            <w:r>
              <w:rPr>
                <w:rFonts w:hint="eastAsia" w:ascii="仿宋_GB2312" w:hAnsi="宋体" w:eastAsia="仿宋_GB2312" w:cs="宋体"/>
                <w:spacing w:val="-8"/>
                <w:kern w:val="0"/>
                <w:sz w:val="24"/>
              </w:rPr>
              <w:br w:type="textWrapping"/>
            </w:r>
            <w:r>
              <w:rPr>
                <w:rFonts w:hint="eastAsia" w:ascii="仿宋_GB2312" w:hAnsi="宋体" w:eastAsia="仿宋_GB2312" w:cs="宋体"/>
                <w:kern w:val="0"/>
                <w:sz w:val="24"/>
              </w:rPr>
              <w:t>③每季度抽查一次视频监控系统图像在线率，低于60%的，每次扣0.3分；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④视频监控系统出现故障时，应在规定时间内排除故障并做好详细记录，未及时排除故障的，每发现一次扣0.1</w:t>
            </w:r>
            <w:r>
              <w:rPr>
                <w:rFonts w:hint="eastAsia" w:ascii="仿宋_GB2312" w:hAnsi="宋体" w:eastAsia="仿宋_GB2312" w:cs="宋体"/>
                <w:spacing w:val="-8"/>
                <w:kern w:val="0"/>
                <w:sz w:val="24"/>
              </w:rPr>
              <w:t>分；检查故障处理记录，无记录或记录不完整的，扣0.3分；</w:t>
            </w:r>
            <w:r>
              <w:rPr>
                <w:rFonts w:hint="eastAsia" w:ascii="仿宋_GB2312" w:hAnsi="宋体" w:eastAsia="仿宋_GB2312" w:cs="宋体"/>
                <w:spacing w:val="-8"/>
                <w:kern w:val="0"/>
                <w:sz w:val="24"/>
              </w:rPr>
              <w:br w:type="textWrapping"/>
            </w:r>
            <w:r>
              <w:rPr>
                <w:rFonts w:hint="eastAsia" w:ascii="仿宋_GB2312" w:hAnsi="宋体" w:eastAsia="仿宋_GB2312" w:cs="宋体"/>
                <w:kern w:val="0"/>
                <w:sz w:val="24"/>
              </w:rPr>
              <w:t>⑤未按要求将视频监控数据传给上级主管部门的扣0.5分；未按上级部门要求建设其他监测系统并将数据传送至上级部门的，每一项扣0.3分。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以上情形最多扣3分。</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路网运行监测考评由省交通运输厅负责养护管理的处室牵头，厅信息中心配合。</w:t>
            </w:r>
          </w:p>
        </w:tc>
      </w:tr>
      <w:tr>
        <w:tblPrEx>
          <w:tblCellMar>
            <w:top w:w="0" w:type="dxa"/>
            <w:left w:w="108" w:type="dxa"/>
            <w:bottom w:w="0" w:type="dxa"/>
            <w:right w:w="108" w:type="dxa"/>
          </w:tblCellMar>
        </w:tblPrEx>
        <w:trPr>
          <w:trHeight w:val="3956" w:hRule="atLeast"/>
          <w:jc w:val="center"/>
        </w:trPr>
        <w:tc>
          <w:tcPr>
            <w:tcW w:w="11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6.3路况信息报送</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27</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建立健全路警联合指挥调度处突机制；建立相关制度情况；监控分中心及监控室值守情况；路况信息报送情况；情报板运行发布情况。</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60" w:lineRule="exact"/>
              <w:rPr>
                <w:rFonts w:ascii="仿宋_GB2312" w:hAnsi="宋体" w:eastAsia="仿宋_GB2312" w:cs="宋体"/>
                <w:kern w:val="0"/>
                <w:sz w:val="24"/>
              </w:rPr>
            </w:pPr>
            <w:r>
              <w:rPr>
                <w:rFonts w:hint="eastAsia" w:ascii="仿宋_GB2312" w:hAnsi="宋体" w:eastAsia="仿宋_GB2312" w:cs="宋体"/>
                <w:kern w:val="0"/>
                <w:sz w:val="24"/>
              </w:rPr>
              <w:t>①未建立路警联合应急指挥组织机构的扣0.2分，未健全相应制度的扣0.2分；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②无日常监测管理制度扣0.2分；无路况信息报送制度扣0.2分；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③监控分中心、桥隧道管理所（站）监控室无专人值守，每一处扣0.1分；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④未按上级部门要求及制度流程上报路况信息的每项次扣0.1分，路况信息上报不准确、 不及时的每项次扣0.1分，未按规定格式填写记录每项次扣0.1分，记录与实际情况不符扣0.1分；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⑤无特殊情况，未在24小时内排除情报板故障每发现一次扣0.1分，没有记录说明每次扣0.1分；情报板运行记录不真实每次扣0.1分；情报板发布的实时路况、天气与实际情况不符每次扣0.1分；情报板未优先发布交通事故、道路施工、交通管制、通行诱导及绕行提示等信息每次扣0.1分；交通突发应急情况下， 情况板发布与应急事件无关的信息每次扣0.1分；未严格执行省中心发布指令，每次扣0.1分。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以上情形最多扣2分。</w:t>
            </w:r>
          </w:p>
        </w:tc>
        <w:tc>
          <w:tcPr>
            <w:tcW w:w="1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p>
        </w:tc>
      </w:tr>
      <w:tr>
        <w:tblPrEx>
          <w:tblCellMar>
            <w:top w:w="0" w:type="dxa"/>
            <w:left w:w="108" w:type="dxa"/>
            <w:bottom w:w="0" w:type="dxa"/>
            <w:right w:w="108" w:type="dxa"/>
          </w:tblCellMar>
        </w:tblPrEx>
        <w:trPr>
          <w:trHeight w:val="412" w:hRule="atLeast"/>
          <w:jc w:val="center"/>
        </w:trPr>
        <w:tc>
          <w:tcPr>
            <w:tcW w:w="23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评价项目</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序号</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评价内容</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分值</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评分标准（满分100分）</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职责分工</w:t>
            </w:r>
          </w:p>
        </w:tc>
      </w:tr>
      <w:tr>
        <w:tblPrEx>
          <w:tblCellMar>
            <w:top w:w="0" w:type="dxa"/>
            <w:left w:w="108" w:type="dxa"/>
            <w:bottom w:w="0" w:type="dxa"/>
            <w:right w:w="108" w:type="dxa"/>
          </w:tblCellMar>
        </w:tblPrEx>
        <w:trPr>
          <w:trHeight w:val="1972" w:hRule="atLeast"/>
          <w:jc w:val="center"/>
        </w:trPr>
        <w:tc>
          <w:tcPr>
            <w:tcW w:w="11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7.安全生产和应急管理工作（13分）</w:t>
            </w: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7.1竣工验收</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28</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ascii="仿宋_GB2312" w:hAnsi="宋体" w:eastAsia="仿宋_GB2312" w:cs="宋体"/>
                <w:kern w:val="0"/>
                <w:sz w:val="24"/>
              </w:rPr>
            </w:pPr>
            <w:r>
              <w:rPr>
                <w:rFonts w:hint="eastAsia" w:ascii="仿宋_GB2312" w:hAnsi="宋体" w:eastAsia="仿宋_GB2312" w:cs="宋体"/>
                <w:kern w:val="0"/>
                <w:sz w:val="24"/>
              </w:rPr>
              <w:t>通车试运营两年后3年内完成竣工验收。</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ascii="仿宋_GB2312" w:hAnsi="宋体" w:eastAsia="仿宋_GB2312" w:cs="宋体"/>
                <w:kern w:val="0"/>
                <w:sz w:val="24"/>
              </w:rPr>
            </w:pPr>
            <w:r>
              <w:rPr>
                <w:rFonts w:hint="eastAsia" w:ascii="仿宋_GB2312" w:hAnsi="宋体" w:eastAsia="仿宋_GB2312" w:cs="宋体"/>
                <w:kern w:val="0"/>
                <w:sz w:val="24"/>
              </w:rPr>
              <w:t>①通车试运营2年后3年内未完成竣工质量缺陷修复的扣0.5分；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②未完成档案、环保、水保验收及决算认定的每项扣0.5分，扣完2分为止。</w:t>
            </w:r>
          </w:p>
        </w:tc>
        <w:tc>
          <w:tcPr>
            <w:tcW w:w="1615"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仿宋_GB2312" w:hAnsi="宋体" w:eastAsia="仿宋_GB2312" w:cs="宋体"/>
                <w:kern w:val="0"/>
                <w:sz w:val="24"/>
              </w:rPr>
            </w:pPr>
            <w:r>
              <w:rPr>
                <w:rFonts w:hint="eastAsia" w:ascii="仿宋_GB2312" w:hAnsi="宋体" w:eastAsia="仿宋_GB2312" w:cs="宋体"/>
                <w:kern w:val="0"/>
                <w:sz w:val="24"/>
              </w:rPr>
              <w:t>竣工验收部分由省交通运输厅负责基本建设的处室牵头。</w:t>
            </w:r>
          </w:p>
        </w:tc>
      </w:tr>
      <w:tr>
        <w:tblPrEx>
          <w:tblCellMar>
            <w:top w:w="0" w:type="dxa"/>
            <w:left w:w="108" w:type="dxa"/>
            <w:bottom w:w="0" w:type="dxa"/>
            <w:right w:w="108" w:type="dxa"/>
          </w:tblCellMar>
        </w:tblPrEx>
        <w:trPr>
          <w:trHeight w:val="5633" w:hRule="atLeast"/>
          <w:jc w:val="center"/>
        </w:trPr>
        <w:tc>
          <w:tcPr>
            <w:tcW w:w="11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7.2制度机制</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29</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ascii="仿宋_GB2312" w:hAnsi="宋体" w:eastAsia="仿宋_GB2312" w:cs="宋体"/>
                <w:kern w:val="0"/>
                <w:sz w:val="24"/>
              </w:rPr>
            </w:pPr>
            <w:r>
              <w:rPr>
                <w:rFonts w:hint="eastAsia" w:ascii="仿宋_GB2312" w:hAnsi="宋体" w:eastAsia="仿宋_GB2312" w:cs="宋体"/>
                <w:kern w:val="0"/>
                <w:sz w:val="24"/>
              </w:rPr>
              <w:t>建立健全安全生产责任制，制定安全生产规章制度和操作规程。加强安全生产责任目标考核，建立并运行安全生产监督管理工作激励与约束机制。</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ascii="仿宋_GB2312" w:hAnsi="宋体" w:eastAsia="仿宋_GB2312" w:cs="宋体"/>
                <w:kern w:val="0"/>
                <w:sz w:val="24"/>
              </w:rPr>
            </w:pPr>
            <w:r>
              <w:rPr>
                <w:rFonts w:hint="eastAsia" w:ascii="仿宋_GB2312" w:hAnsi="宋体" w:eastAsia="仿宋_GB2312" w:cs="宋体"/>
                <w:kern w:val="0"/>
                <w:sz w:val="24"/>
              </w:rPr>
              <w:t>①未设置安全生产领导机构和管理机构，未按要求配备安全生产管理人员，未建立健全各项安全生产规章制度和操作规程，每项扣0.5分。②未建立并运行安全生产监督管理工作激励与约束机制的扣0.5分。 以上情形最多扣2分。</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宋体" w:eastAsia="仿宋_GB2312" w:cs="宋体"/>
                <w:kern w:val="0"/>
                <w:sz w:val="24"/>
              </w:rPr>
            </w:pPr>
            <w:r>
              <w:rPr>
                <w:rFonts w:hint="eastAsia" w:ascii="仿宋_GB2312" w:hAnsi="宋体" w:eastAsia="仿宋_GB2312" w:cs="宋体"/>
                <w:kern w:val="0"/>
                <w:sz w:val="24"/>
              </w:rPr>
              <w:t>安全生产和应急管理工作29-33项考评由省交通运输厅相关业务处室分别牵头。省公路事务中心具体负责考核。</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因运营管理不善发生重特大安全生产责任事故的，实行一票否决制，直接按低于80分的情形依规办理。</w:t>
            </w:r>
          </w:p>
        </w:tc>
      </w:tr>
      <w:tr>
        <w:tblPrEx>
          <w:tblCellMar>
            <w:top w:w="0" w:type="dxa"/>
            <w:left w:w="108" w:type="dxa"/>
            <w:bottom w:w="0" w:type="dxa"/>
            <w:right w:w="108" w:type="dxa"/>
          </w:tblCellMar>
        </w:tblPrEx>
        <w:trPr>
          <w:trHeight w:val="412" w:hRule="atLeast"/>
          <w:jc w:val="center"/>
        </w:trPr>
        <w:tc>
          <w:tcPr>
            <w:tcW w:w="23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评价项目</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序号</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评价内容</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分值</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评分标准（满分100分）</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职责分工</w:t>
            </w:r>
          </w:p>
        </w:tc>
      </w:tr>
      <w:tr>
        <w:tblPrEx>
          <w:tblCellMar>
            <w:top w:w="0" w:type="dxa"/>
            <w:left w:w="108" w:type="dxa"/>
            <w:bottom w:w="0" w:type="dxa"/>
            <w:right w:w="108" w:type="dxa"/>
          </w:tblCellMar>
        </w:tblPrEx>
        <w:trPr>
          <w:trHeight w:val="2396" w:hRule="atLeast"/>
          <w:jc w:val="center"/>
        </w:trPr>
        <w:tc>
          <w:tcPr>
            <w:tcW w:w="11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7.安全生产和应急管理工作（13分）</w:t>
            </w: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7.3应急管理</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30</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ascii="仿宋_GB2312" w:hAnsi="宋体" w:eastAsia="仿宋_GB2312" w:cs="宋体"/>
                <w:kern w:val="0"/>
                <w:sz w:val="24"/>
              </w:rPr>
            </w:pPr>
            <w:r>
              <w:rPr>
                <w:rFonts w:hint="eastAsia" w:ascii="仿宋_GB2312" w:hAnsi="宋体" w:eastAsia="仿宋_GB2312" w:cs="宋体"/>
                <w:kern w:val="0"/>
                <w:sz w:val="24"/>
              </w:rPr>
              <w:t>应急预案制定、修订和备案情况；应急值班制度落实与突发事件信息报送情况；应急响应与应急事件处置情况；应急抢险队伍、物资、设备储备情况；应急演练开展情况。</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2.5</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ascii="仿宋_GB2312" w:hAnsi="宋体" w:eastAsia="仿宋_GB2312" w:cs="宋体"/>
                <w:kern w:val="0"/>
                <w:sz w:val="24"/>
              </w:rPr>
            </w:pPr>
            <w:r>
              <w:rPr>
                <w:rFonts w:hint="eastAsia" w:ascii="仿宋_GB2312" w:hAnsi="宋体" w:eastAsia="仿宋_GB2312" w:cs="宋体"/>
                <w:kern w:val="0"/>
                <w:sz w:val="24"/>
              </w:rPr>
              <w:t>①没有按有关规定制定、修订或备案的应急预案，扣0.3分；②值班值守制度不落实，出现漏岗、缺岗等情况，每发现一次扣0.1分；③突发事件信息报送迟报每起扣0.1分，误报每起扣0.2分，漏报每起扣0.3分，瞒报每起扣0.5分；④应急响应或应急事件处置不及时，每起扣0.2分；⑤应急队伍、物资、装备储备不足，影响突发事件有效处置的，每起扣0.3分；⑥未按要求组织开展应急演练的，每少一次扣0.2分。以上情形最多扣2.5分。</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宋体" w:eastAsia="仿宋_GB2312" w:cs="宋体"/>
                <w:kern w:val="0"/>
                <w:sz w:val="24"/>
              </w:rPr>
            </w:pPr>
            <w:r>
              <w:rPr>
                <w:rFonts w:hint="eastAsia" w:ascii="仿宋_GB2312" w:hAnsi="宋体" w:eastAsia="仿宋_GB2312" w:cs="宋体"/>
                <w:kern w:val="0"/>
                <w:sz w:val="24"/>
              </w:rPr>
              <w:t>安全生产和应急管理工作29-33项考评由省交通运输厅相关业务处室分别牵头。省公路事务中心具体负责考核。</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因运营管理不善发生重特大安全生产责任事故的，实行一票否决制，直接按低于80分的情形依规办理。</w:t>
            </w:r>
          </w:p>
        </w:tc>
      </w:tr>
      <w:tr>
        <w:tblPrEx>
          <w:tblCellMar>
            <w:top w:w="0" w:type="dxa"/>
            <w:left w:w="108" w:type="dxa"/>
            <w:bottom w:w="0" w:type="dxa"/>
            <w:right w:w="108" w:type="dxa"/>
          </w:tblCellMar>
        </w:tblPrEx>
        <w:trPr>
          <w:trHeight w:val="1410" w:hRule="atLeast"/>
          <w:jc w:val="center"/>
        </w:trPr>
        <w:tc>
          <w:tcPr>
            <w:tcW w:w="11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7.4安全投入</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31</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ascii="仿宋_GB2312" w:hAnsi="宋体" w:eastAsia="仿宋_GB2312" w:cs="宋体"/>
                <w:kern w:val="0"/>
                <w:sz w:val="24"/>
              </w:rPr>
            </w:pPr>
            <w:r>
              <w:rPr>
                <w:rFonts w:hint="eastAsia" w:ascii="仿宋_GB2312" w:hAnsi="宋体" w:eastAsia="仿宋_GB2312" w:cs="宋体"/>
                <w:kern w:val="0"/>
                <w:sz w:val="24"/>
              </w:rPr>
              <w:t>足额提取安全生产费用，购买安全生产责任保险，保障安全事项支出。</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1.5</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ascii="仿宋_GB2312" w:hAnsi="宋体" w:eastAsia="仿宋_GB2312" w:cs="宋体"/>
                <w:kern w:val="0"/>
                <w:sz w:val="24"/>
              </w:rPr>
            </w:pPr>
            <w:r>
              <w:rPr>
                <w:rFonts w:hint="eastAsia" w:ascii="仿宋_GB2312" w:hAnsi="宋体" w:eastAsia="仿宋_GB2312" w:cs="宋体"/>
                <w:kern w:val="0"/>
                <w:sz w:val="24"/>
              </w:rPr>
              <w:t>未落实安全生产预防和应急工作机制，如未按规定足额提取安全生产费用，未购买安全生产责任保险，未按规定保障安全生产事项支出等，每项扣0.5分，最多扣1.5分。</w:t>
            </w:r>
          </w:p>
        </w:tc>
        <w:tc>
          <w:tcPr>
            <w:tcW w:w="1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宋体" w:eastAsia="仿宋_GB2312" w:cs="宋体"/>
                <w:kern w:val="0"/>
                <w:sz w:val="24"/>
              </w:rPr>
            </w:pPr>
          </w:p>
        </w:tc>
      </w:tr>
      <w:tr>
        <w:tblPrEx>
          <w:tblCellMar>
            <w:top w:w="0" w:type="dxa"/>
            <w:left w:w="108" w:type="dxa"/>
            <w:bottom w:w="0" w:type="dxa"/>
            <w:right w:w="108" w:type="dxa"/>
          </w:tblCellMar>
        </w:tblPrEx>
        <w:trPr>
          <w:trHeight w:val="1971" w:hRule="atLeast"/>
          <w:jc w:val="center"/>
        </w:trPr>
        <w:tc>
          <w:tcPr>
            <w:tcW w:w="11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7.5风险管控</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32</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ascii="仿宋_GB2312" w:hAnsi="宋体" w:eastAsia="仿宋_GB2312" w:cs="宋体"/>
                <w:kern w:val="0"/>
                <w:sz w:val="24"/>
              </w:rPr>
            </w:pPr>
            <w:r>
              <w:rPr>
                <w:rFonts w:hint="eastAsia" w:ascii="仿宋_GB2312" w:hAnsi="宋体" w:eastAsia="仿宋_GB2312" w:cs="宋体"/>
                <w:kern w:val="0"/>
                <w:sz w:val="24"/>
              </w:rPr>
              <w:t>依法依规开展风险管理工作，实施重大风险登记和监督管理，建立隐患治理台账和档案，安全隐患整改。定期开展安全生产教育和培训工作。</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ascii="仿宋_GB2312" w:hAnsi="宋体" w:eastAsia="仿宋_GB2312" w:cs="宋体"/>
                <w:kern w:val="0"/>
                <w:sz w:val="24"/>
              </w:rPr>
            </w:pPr>
            <w:r>
              <w:rPr>
                <w:rFonts w:hint="eastAsia" w:ascii="仿宋_GB2312" w:hAnsi="宋体" w:eastAsia="仿宋_GB2312" w:cs="宋体"/>
                <w:kern w:val="0"/>
                <w:sz w:val="24"/>
              </w:rPr>
              <w:t>①未按交通运输部规定建立重大风险基础信息、责任分工、防控措施、检测监控、应急处置清单的，每少一个清单扣0.2分；②未对重大风险实施有效管控的，每次扣0.5分；③全年未开展安全生产教育和培训工作的，扣0.5分。以上情形最多扣3分。</w:t>
            </w:r>
          </w:p>
        </w:tc>
        <w:tc>
          <w:tcPr>
            <w:tcW w:w="1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宋体" w:eastAsia="仿宋_GB2312" w:cs="宋体"/>
                <w:kern w:val="0"/>
                <w:sz w:val="24"/>
              </w:rPr>
            </w:pPr>
          </w:p>
        </w:tc>
      </w:tr>
      <w:tr>
        <w:tblPrEx>
          <w:tblCellMar>
            <w:top w:w="0" w:type="dxa"/>
            <w:left w:w="108" w:type="dxa"/>
            <w:bottom w:w="0" w:type="dxa"/>
            <w:right w:w="108" w:type="dxa"/>
          </w:tblCellMar>
        </w:tblPrEx>
        <w:trPr>
          <w:trHeight w:val="1542" w:hRule="atLeast"/>
          <w:jc w:val="center"/>
        </w:trPr>
        <w:tc>
          <w:tcPr>
            <w:tcW w:w="11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宋体" w:eastAsia="仿宋_GB2312" w:cs="宋体"/>
                <w:kern w:val="0"/>
                <w:sz w:val="24"/>
              </w:rPr>
            </w:pP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7.6重大事故隐患及事故上报</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33</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60" w:lineRule="exact"/>
              <w:rPr>
                <w:rFonts w:ascii="仿宋_GB2312" w:hAnsi="宋体" w:eastAsia="仿宋_GB2312" w:cs="宋体"/>
                <w:kern w:val="0"/>
                <w:sz w:val="24"/>
              </w:rPr>
            </w:pPr>
            <w:r>
              <w:rPr>
                <w:rFonts w:hint="eastAsia" w:ascii="仿宋_GB2312" w:hAnsi="宋体" w:eastAsia="仿宋_GB2312" w:cs="宋体"/>
                <w:kern w:val="0"/>
                <w:sz w:val="24"/>
              </w:rPr>
              <w:t>对重大事故隐患治理任务实行交办制、台帐制、销号制、通报制管理。并及时上报安全生产事故。</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60" w:lineRule="exact"/>
              <w:rPr>
                <w:rFonts w:ascii="仿宋_GB2312" w:hAnsi="宋体" w:eastAsia="仿宋_GB2312" w:cs="宋体"/>
                <w:kern w:val="0"/>
                <w:sz w:val="24"/>
              </w:rPr>
            </w:pPr>
            <w:r>
              <w:rPr>
                <w:rFonts w:hint="eastAsia" w:ascii="仿宋_GB2312" w:hAnsi="宋体" w:eastAsia="仿宋_GB2312" w:cs="宋体"/>
                <w:kern w:val="0"/>
                <w:sz w:val="24"/>
              </w:rPr>
              <w:t>①对重大事故隐患未按“一单四制”实行交办制、台帐制、销号制、通报制管理，每少1次扣0.5分，最多扣2分。②对安全生产事故未及时上报的，每次扣0.2分，扣完为止。</w:t>
            </w:r>
          </w:p>
        </w:tc>
        <w:tc>
          <w:tcPr>
            <w:tcW w:w="1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宋体" w:eastAsia="仿宋_GB2312" w:cs="宋体"/>
                <w:kern w:val="0"/>
                <w:sz w:val="24"/>
              </w:rPr>
            </w:pPr>
          </w:p>
        </w:tc>
      </w:tr>
      <w:tr>
        <w:tblPrEx>
          <w:tblCellMar>
            <w:top w:w="0" w:type="dxa"/>
            <w:left w:w="108" w:type="dxa"/>
            <w:bottom w:w="0" w:type="dxa"/>
            <w:right w:w="108" w:type="dxa"/>
          </w:tblCellMar>
        </w:tblPrEx>
        <w:trPr>
          <w:trHeight w:val="412" w:hRule="atLeast"/>
          <w:jc w:val="center"/>
        </w:trPr>
        <w:tc>
          <w:tcPr>
            <w:tcW w:w="235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评价项目</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序号</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评价内容</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分值</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评分标准（满分100分）</w:t>
            </w:r>
          </w:p>
        </w:tc>
        <w:tc>
          <w:tcPr>
            <w:tcW w:w="16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cs="宋体"/>
                <w:bCs/>
                <w:kern w:val="0"/>
                <w:sz w:val="24"/>
              </w:rPr>
            </w:pPr>
            <w:r>
              <w:rPr>
                <w:rFonts w:hint="eastAsia" w:ascii="黑体" w:hAnsi="黑体" w:eastAsia="黑体" w:cs="宋体"/>
                <w:bCs/>
                <w:kern w:val="0"/>
                <w:sz w:val="24"/>
              </w:rPr>
              <w:t>职责分工</w:t>
            </w:r>
          </w:p>
        </w:tc>
      </w:tr>
      <w:tr>
        <w:tblPrEx>
          <w:tblCellMar>
            <w:top w:w="0" w:type="dxa"/>
            <w:left w:w="108" w:type="dxa"/>
            <w:bottom w:w="0" w:type="dxa"/>
            <w:right w:w="108" w:type="dxa"/>
          </w:tblCellMar>
        </w:tblPrEx>
        <w:trPr>
          <w:trHeight w:val="1254" w:hRule="atLeast"/>
          <w:jc w:val="center"/>
        </w:trPr>
        <w:tc>
          <w:tcPr>
            <w:tcW w:w="11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8.加分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项目</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(5分)</w:t>
            </w: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8.1路况质量</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34</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路况质量好，取得突出成绩的。</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①当年对高速公路养护实用技术制定了专项技术指南或</w:t>
            </w:r>
            <w:r>
              <w:rPr>
                <w:rFonts w:hint="eastAsia" w:ascii="仿宋_GB2312" w:hAnsi="宋体" w:eastAsia="仿宋_GB2312" w:cs="宋体"/>
                <w:spacing w:val="-8"/>
                <w:kern w:val="0"/>
                <w:sz w:val="24"/>
              </w:rPr>
              <w:t>技术研发获得省、部级（含）以上发明奖、科技进步奖的；</w:t>
            </w:r>
            <w:r>
              <w:rPr>
                <w:rFonts w:hint="eastAsia" w:ascii="仿宋_GB2312" w:hAnsi="宋体" w:eastAsia="仿宋_GB2312" w:cs="宋体"/>
                <w:spacing w:val="-8"/>
                <w:kern w:val="0"/>
                <w:sz w:val="24"/>
              </w:rPr>
              <w:br w:type="textWrapping"/>
            </w:r>
            <w:r>
              <w:rPr>
                <w:rFonts w:hint="eastAsia" w:ascii="仿宋_GB2312" w:hAnsi="宋体" w:eastAsia="仿宋_GB2312" w:cs="宋体"/>
                <w:kern w:val="0"/>
                <w:sz w:val="24"/>
              </w:rPr>
              <w:t>②在每年养护管理信息化建设检查中排名前三的。</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以上项目每得到一次加0.5分，累计不超过1分。</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省交通运输厅各相关牵头处室负责。省公路事务中心配合。</w:t>
            </w:r>
          </w:p>
        </w:tc>
      </w:tr>
      <w:tr>
        <w:tblPrEx>
          <w:tblCellMar>
            <w:top w:w="0" w:type="dxa"/>
            <w:left w:w="108" w:type="dxa"/>
            <w:bottom w:w="0" w:type="dxa"/>
            <w:right w:w="108" w:type="dxa"/>
          </w:tblCellMar>
        </w:tblPrEx>
        <w:trPr>
          <w:trHeight w:val="1585" w:hRule="atLeast"/>
          <w:jc w:val="center"/>
        </w:trPr>
        <w:tc>
          <w:tcPr>
            <w:tcW w:w="112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br w:type="textWrapping"/>
            </w:r>
            <w:r>
              <w:rPr>
                <w:rFonts w:hint="eastAsia" w:ascii="仿宋_GB2312" w:hAnsi="宋体" w:eastAsia="仿宋_GB2312" w:cs="宋体"/>
                <w:kern w:val="0"/>
                <w:sz w:val="24"/>
              </w:rPr>
              <w:t>8.2服务质量</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35</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运营服务质量好，获得省部级以上荣誉的。</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1.5</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①本年度运营管理良好，因服务质量原因受到省部级（含）以上通报表彰的，每次加0.2分。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②获得省部级“青年文明号”荣誉称号的，加0.2分。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③在环境保护、新能源推广等方面做出突出贡献，获得省、部级（含）以上表彰的。</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以上情形累计加分不超过1.5分。</w:t>
            </w:r>
          </w:p>
        </w:tc>
        <w:tc>
          <w:tcPr>
            <w:tcW w:w="161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cs="宋体"/>
                <w:kern w:val="0"/>
                <w:sz w:val="24"/>
              </w:rPr>
            </w:pPr>
          </w:p>
        </w:tc>
      </w:tr>
      <w:tr>
        <w:tblPrEx>
          <w:tblCellMar>
            <w:top w:w="0" w:type="dxa"/>
            <w:left w:w="108" w:type="dxa"/>
            <w:bottom w:w="0" w:type="dxa"/>
            <w:right w:w="108" w:type="dxa"/>
          </w:tblCellMar>
        </w:tblPrEx>
        <w:trPr>
          <w:trHeight w:val="2688" w:hRule="atLeast"/>
          <w:jc w:val="center"/>
        </w:trPr>
        <w:tc>
          <w:tcPr>
            <w:tcW w:w="112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br w:type="textWrapping"/>
            </w:r>
            <w:r>
              <w:rPr>
                <w:rFonts w:hint="eastAsia" w:ascii="仿宋_GB2312" w:hAnsi="宋体" w:eastAsia="仿宋_GB2312" w:cs="宋体"/>
                <w:kern w:val="0"/>
                <w:sz w:val="24"/>
              </w:rPr>
              <w:t>8.3安全生产</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36</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安全生产好，获得省部级以上表彰的。</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1.5</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①按省人民政府要求，提前消除事故多发点的，每处加0.1分；②安全生产工作成绩突出，获国家、部（委、局）和省、省安办和厅（委、局）表彰的，各加0.5分、0.2分、0.1分；③安全生产工作创新，被国家、部（委、局）和省认可推广的，加0.5分；④安全生产宣传工作成绩突出，被国家级、省级主流媒体肯定性报道的，每一次各加0.2分、0.1分；⑤通过交通运输企业安全生产标准化达标考评的，三级达标企业加0.1分，二级达标企业加0.2分，一级达标企业加0.3分。</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以上情形累计加分不超过1.5分。</w:t>
            </w:r>
          </w:p>
        </w:tc>
        <w:tc>
          <w:tcPr>
            <w:tcW w:w="161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cs="宋体"/>
                <w:kern w:val="0"/>
                <w:sz w:val="24"/>
              </w:rPr>
            </w:pPr>
          </w:p>
        </w:tc>
      </w:tr>
      <w:tr>
        <w:tblPrEx>
          <w:tblCellMar>
            <w:top w:w="0" w:type="dxa"/>
            <w:left w:w="108" w:type="dxa"/>
            <w:bottom w:w="0" w:type="dxa"/>
            <w:right w:w="108" w:type="dxa"/>
          </w:tblCellMar>
        </w:tblPrEx>
        <w:trPr>
          <w:trHeight w:val="1530" w:hRule="atLeast"/>
          <w:jc w:val="center"/>
        </w:trPr>
        <w:tc>
          <w:tcPr>
            <w:tcW w:w="112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kern w:val="0"/>
                <w:sz w:val="24"/>
              </w:rPr>
            </w:pPr>
          </w:p>
        </w:tc>
        <w:tc>
          <w:tcPr>
            <w:tcW w:w="123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8.4路政管理协作工作开展情况</w:t>
            </w:r>
          </w:p>
        </w:tc>
        <w:tc>
          <w:tcPr>
            <w:tcW w:w="74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37</w:t>
            </w:r>
          </w:p>
        </w:tc>
        <w:tc>
          <w:tcPr>
            <w:tcW w:w="3544"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按照《湖南省高速公路路政管理协作实施办法（试行）》要求积极配合市州交通运输局综合行政执法机构开展路政管理协作相关工作。</w:t>
            </w: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607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由市州交通运输局综合行政执法机构进行评价，贯彻执行得力、配合较好的加1分，贯彻执行不力、配合不好的不加分。</w:t>
            </w:r>
          </w:p>
        </w:tc>
        <w:tc>
          <w:tcPr>
            <w:tcW w:w="1615" w:type="dxa"/>
            <w:tcBorders>
              <w:top w:val="single" w:color="auto" w:sz="4" w:space="0"/>
              <w:left w:val="nil"/>
              <w:bottom w:val="single" w:color="auto" w:sz="4" w:space="0"/>
              <w:right w:val="single" w:color="auto" w:sz="4" w:space="0"/>
            </w:tcBorders>
            <w:shd w:val="clear" w:color="auto" w:fill="auto"/>
            <w:vAlign w:val="center"/>
          </w:tcPr>
          <w:p>
            <w:pPr>
              <w:spacing w:line="280" w:lineRule="exact"/>
              <w:rPr>
                <w:rFonts w:ascii="仿宋_GB2312" w:hAnsi="宋体" w:eastAsia="仿宋_GB2312" w:cs="宋体"/>
                <w:kern w:val="0"/>
                <w:sz w:val="24"/>
              </w:rPr>
            </w:pPr>
            <w:r>
              <w:rPr>
                <w:rFonts w:hint="eastAsia" w:ascii="仿宋_GB2312" w:hAnsi="宋体" w:eastAsia="仿宋_GB2312" w:cs="宋体"/>
                <w:kern w:val="0"/>
                <w:sz w:val="24"/>
              </w:rPr>
              <w:t>各市州交通运输局负责提供相关情况。</w:t>
            </w:r>
          </w:p>
        </w:tc>
      </w:tr>
      <w:tr>
        <w:tblPrEx>
          <w:tblCellMar>
            <w:top w:w="0" w:type="dxa"/>
            <w:left w:w="108" w:type="dxa"/>
            <w:bottom w:w="0" w:type="dxa"/>
            <w:right w:w="108" w:type="dxa"/>
          </w:tblCellMar>
        </w:tblPrEx>
        <w:trPr>
          <w:trHeight w:val="280" w:hRule="atLeast"/>
          <w:jc w:val="center"/>
        </w:trPr>
        <w:tc>
          <w:tcPr>
            <w:tcW w:w="1516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720" w:hanging="720" w:hangingChars="300"/>
              <w:rPr>
                <w:rFonts w:ascii="仿宋_GB2312" w:hAnsi="宋体" w:eastAsia="仿宋_GB2312" w:cs="宋体"/>
                <w:kern w:val="0"/>
                <w:sz w:val="24"/>
              </w:rPr>
            </w:pPr>
            <w:r>
              <w:rPr>
                <w:rFonts w:hint="eastAsia" w:ascii="仿宋_GB2312" w:hAnsi="宋体" w:eastAsia="仿宋_GB2312" w:cs="宋体"/>
                <w:kern w:val="0"/>
                <w:sz w:val="24"/>
              </w:rPr>
              <w:t>备注：年度考评95分以上（含）的，为优秀；年度考评95以下80分以上（含）的，为合格；年度考评80分以下的，为不合格。考评得分情况作为通行费下调比例的重要依据。</w:t>
            </w:r>
          </w:p>
        </w:tc>
      </w:tr>
    </w:tbl>
    <w:p>
      <w:pPr>
        <w:rPr>
          <w:rFonts w:ascii="仿宋_GB2312" w:eastAsia="仿宋_GB2312"/>
          <w:sz w:val="32"/>
        </w:rPr>
        <w:sectPr>
          <w:pgSz w:w="16838" w:h="11906" w:orient="landscape"/>
          <w:pgMar w:top="1588" w:right="1928" w:bottom="1588" w:left="2098" w:header="851" w:footer="1701" w:gutter="0"/>
          <w:cols w:space="425" w:num="1"/>
          <w:docGrid w:type="linesAndChars" w:linePitch="312" w:charSpace="0"/>
        </w:sect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ind w:firstLine="280" w:firstLineChars="100"/>
        <w:rPr>
          <w:rFonts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12700</wp:posOffset>
                </wp:positionV>
                <wp:extent cx="5600700" cy="0"/>
                <wp:effectExtent l="9525" t="12700" r="9525" b="6350"/>
                <wp:wrapNone/>
                <wp:docPr id="3" name="Line 2"/>
                <wp:cNvGraphicFramePr/>
                <a:graphic xmlns:a="http://schemas.openxmlformats.org/drawingml/2006/main">
                  <a:graphicData uri="http://schemas.microsoft.com/office/word/2010/wordprocessingShape">
                    <wps:wsp>
                      <wps:cNvCnPr>
                        <a:cxnSpLocks noChangeShapeType="true"/>
                      </wps:cNvCnPr>
                      <wps:spPr bwMode="auto">
                        <a:xfrm>
                          <a:off x="0" y="0"/>
                          <a:ext cx="5600700" cy="0"/>
                        </a:xfrm>
                        <a:prstGeom prst="line">
                          <a:avLst/>
                        </a:prstGeom>
                        <a:noFill/>
                        <a:ln w="12700">
                          <a:solidFill>
                            <a:srgbClr val="000000"/>
                          </a:solidFill>
                          <a:round/>
                        </a:ln>
                      </wps:spPr>
                      <wps:bodyPr/>
                    </wps:wsp>
                  </a:graphicData>
                </a:graphic>
              </wp:anchor>
            </w:drawing>
          </mc:Choice>
          <mc:Fallback>
            <w:pict>
              <v:line id="Line 2" o:spid="_x0000_s1026" o:spt="20" style="position:absolute;left:0pt;margin-left:0pt;margin-top:1pt;height:0pt;width:441pt;z-index:251656192;mso-width-relative:page;mso-height-relative:page;" filled="f" stroked="t" coordsize="21600,21600" o:gfxdata="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MG8RIvSAAAABAEAAA8AAAAAAAAAAQAgAAAAOAAAAGRycy9kb3ducmV2LnhtbFBL&#10;AQIUABQAAAAIAIdO4kBAtxitrQEAAFUDAAAOAAAAAAAAAAEAIAAAADcBAABkcnMvZTJvRG9jLnht&#10;bFBLBQYAAAAABgAGAFkBAABWBQAAAAA=&#10;">
                <v:fill on="f" focussize="0,0"/>
                <v:stroke weight="1pt" color="#000000" joinstyle="round"/>
                <v:imagedata o:title=""/>
                <o:lock v:ext="edit" aspectratio="f"/>
              </v:line>
            </w:pict>
          </mc:Fallback>
        </mc:AlternateContent>
      </w:r>
      <w:r>
        <w:rPr>
          <w:rFonts w:hint="eastAsia" w:ascii="仿宋_GB2312" w:eastAsia="仿宋_GB2312"/>
          <w:sz w:val="28"/>
          <w:szCs w:val="28"/>
        </w:rPr>
        <w:t>抄送：各市州交通运输局，各高速公路服务区经营管理单位。</w:t>
      </w:r>
    </w:p>
    <w:p>
      <w:pPr>
        <w:ind w:firstLine="280" w:firstLineChars="100"/>
      </w:pPr>
      <w:r>
        <w:rPr>
          <w:rFonts w:hint="eastAsia" w:ascii="仿宋_GB2312" w:eastAsia="仿宋_GB2312"/>
          <w:sz w:val="28"/>
          <w:szCs w:val="28"/>
        </w:rPr>
        <mc:AlternateContent>
          <mc:Choice Requires="wps">
            <w:drawing>
              <wp:anchor distT="0" distB="0" distL="114300" distR="114300" simplePos="0" relativeHeight="251657216" behindDoc="0" locked="0" layoutInCell="1" allowOverlap="1">
                <wp:simplePos x="0" y="0"/>
                <wp:positionH relativeFrom="column">
                  <wp:posOffset>-9525</wp:posOffset>
                </wp:positionH>
                <wp:positionV relativeFrom="paragraph">
                  <wp:posOffset>387985</wp:posOffset>
                </wp:positionV>
                <wp:extent cx="5610225" cy="0"/>
                <wp:effectExtent l="9525" t="6985" r="9525" b="12065"/>
                <wp:wrapNone/>
                <wp:docPr id="2" name="Line 3"/>
                <wp:cNvGraphicFramePr/>
                <a:graphic xmlns:a="http://schemas.openxmlformats.org/drawingml/2006/main">
                  <a:graphicData uri="http://schemas.microsoft.com/office/word/2010/wordprocessingShape">
                    <wps:wsp>
                      <wps:cNvCnPr>
                        <a:cxnSpLocks noChangeShapeType="true"/>
                      </wps:cNvCnPr>
                      <wps:spPr bwMode="auto">
                        <a:xfrm>
                          <a:off x="0" y="0"/>
                          <a:ext cx="5610225" cy="0"/>
                        </a:xfrm>
                        <a:prstGeom prst="line">
                          <a:avLst/>
                        </a:prstGeom>
                        <a:noFill/>
                        <a:ln w="12700">
                          <a:solidFill>
                            <a:srgbClr val="000000"/>
                          </a:solidFill>
                          <a:round/>
                        </a:ln>
                      </wps:spPr>
                      <wps:bodyPr/>
                    </wps:wsp>
                  </a:graphicData>
                </a:graphic>
              </wp:anchor>
            </w:drawing>
          </mc:Choice>
          <mc:Fallback>
            <w:pict>
              <v:line id="Line 3" o:spid="_x0000_s1026" o:spt="20" style="position:absolute;left:0pt;margin-left:-0.75pt;margin-top:30.55pt;height:0pt;width:441.75pt;z-index:251657216;mso-width-relative:page;mso-height-relative:page;" filled="f" stroked="t" coordsize="21600,21600" o:gfxdata="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D291oXXAAAACAEAAA8AAAAAAAAAAQAgAAAAOAAAAGRycy9kb3du&#10;cmV2LnhtbFBLAQIUABQAAAAIAIdO4kDqGAGgsQEAAFUDAAAOAAAAAAAAAAEAIAAAADwBAABkcnMv&#10;ZTJvRG9jLnhtbFBLBQYAAAAABgAGAFkBAABfBQAAAAA=&#10;">
                <v:fill on="f" focussize="0,0"/>
                <v:stroke weight="1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12700</wp:posOffset>
                </wp:positionV>
                <wp:extent cx="5600700" cy="0"/>
                <wp:effectExtent l="9525" t="12700" r="9525" b="6350"/>
                <wp:wrapNone/>
                <wp:docPr id="1" name="Line 4"/>
                <wp:cNvGraphicFramePr/>
                <a:graphic xmlns:a="http://schemas.openxmlformats.org/drawingml/2006/main">
                  <a:graphicData uri="http://schemas.microsoft.com/office/word/2010/wordprocessingShape">
                    <wps:wsp>
                      <wps:cNvCnPr>
                        <a:cxnSpLocks noChangeShapeType="true"/>
                      </wps:cNvCnPr>
                      <wps:spPr bwMode="auto">
                        <a:xfrm>
                          <a:off x="0" y="0"/>
                          <a:ext cx="5600700" cy="0"/>
                        </a:xfrm>
                        <a:prstGeom prst="line">
                          <a:avLst/>
                        </a:prstGeom>
                        <a:noFill/>
                        <a:ln w="6350">
                          <a:solidFill>
                            <a:srgbClr val="000000"/>
                          </a:solidFill>
                          <a:round/>
                        </a:ln>
                      </wps:spPr>
                      <wps:bodyPr/>
                    </wps:wsp>
                  </a:graphicData>
                </a:graphic>
              </wp:anchor>
            </w:drawing>
          </mc:Choice>
          <mc:Fallback>
            <w:pict>
              <v:line id="Line 4" o:spid="_x0000_s1026" o:spt="20" style="position:absolute;left:0pt;margin-left:0pt;margin-top:1pt;height:0pt;width:441pt;z-index:251658240;mso-width-relative:page;mso-height-relative:page;" filled="f" stroked="t" coordsize="21600,21600" o:gfxdata="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ss6rm0AAAAAQBAAAPAAAAAAAAAAEAIAAAADgAAABkcnMvZG93bnJldi54bWxQ&#10;SwECFAAUAAAACACHTuJAhL9Z7bABAABUAwAADgAAAAAAAAABACAAAAA1AQAAZHJzL2Uyb0RvYy54&#10;bWxQSwUGAAAAAAYABgBZAQAAVwUAAAAA&#10;">
                <v:fill on="f" focussize="0,0"/>
                <v:stroke weight="0.5pt" color="#000000" joinstyle="round"/>
                <v:imagedata o:title=""/>
                <o:lock v:ext="edit" aspectratio="f"/>
              </v:line>
            </w:pict>
          </mc:Fallback>
        </mc:AlternateContent>
      </w:r>
      <w:r>
        <w:rPr>
          <w:rFonts w:hint="eastAsia" w:ascii="仿宋_GB2312" w:eastAsia="仿宋_GB2312"/>
          <w:sz w:val="28"/>
          <w:szCs w:val="28"/>
        </w:rPr>
        <w:t>湖南省交通运输厅办公室                2023年11月16日印发</w:t>
      </w:r>
    </w:p>
    <w:sectPr>
      <w:footerReference r:id="rId5" w:type="default"/>
      <w:pgSz w:w="11906" w:h="16838"/>
      <w:pgMar w:top="2098" w:right="1588" w:bottom="1928" w:left="1588"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新宋体">
    <w:altName w:val="方正书宋_GBK"/>
    <w:panose1 w:val="02010609030101010101"/>
    <w:charset w:val="86"/>
    <w:family w:val="modern"/>
    <w:pitch w:val="default"/>
    <w:sig w:usb0="00000000" w:usb1="00000000" w:usb2="00000016" w:usb3="00000000" w:csb0="00040001" w:csb1="00000000"/>
  </w:font>
  <w:font w:name="Arial">
    <w:altName w:val="Nimbus Roman No9 L"/>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10" w:leftChars="100" w:right="210" w:rightChars="100"/>
      <w:rPr>
        <w:rStyle w:val="7"/>
        <w:rFonts w:ascii="宋体" w:hAnsi="宋体"/>
        <w:sz w:val="28"/>
        <w:szCs w:val="28"/>
      </w:rPr>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21</w:t>
    </w:r>
    <w:r>
      <w:rPr>
        <w:rStyle w:val="7"/>
        <w:rFonts w:ascii="宋体" w:hAnsi="宋体"/>
        <w:sz w:val="28"/>
        <w:szCs w:val="28"/>
      </w:rPr>
      <w:fldChar w:fldCharType="end"/>
    </w:r>
    <w:r>
      <w:rPr>
        <w:rStyle w:val="7"/>
        <w:rFonts w:hint="eastAsia" w:ascii="宋体" w:hAnsi="宋体"/>
        <w:sz w:val="28"/>
        <w:szCs w:val="28"/>
      </w:rPr>
      <w:t xml:space="preserve"> —</w:t>
    </w:r>
  </w:p>
  <w:p>
    <w:pPr>
      <w:pStyle w:val="3"/>
      <w:ind w:left="210" w:leftChars="100" w:firstLine="357"/>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firstLine="357"/>
    </w:pP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B33"/>
    <w:rsid w:val="00021E1A"/>
    <w:rsid w:val="000321F2"/>
    <w:rsid w:val="000337F0"/>
    <w:rsid w:val="00065F10"/>
    <w:rsid w:val="00073DCB"/>
    <w:rsid w:val="000A3B62"/>
    <w:rsid w:val="000A4D44"/>
    <w:rsid w:val="001007A1"/>
    <w:rsid w:val="001414A0"/>
    <w:rsid w:val="001A42F3"/>
    <w:rsid w:val="001C5D6A"/>
    <w:rsid w:val="001E0719"/>
    <w:rsid w:val="001F2020"/>
    <w:rsid w:val="00202BC6"/>
    <w:rsid w:val="00203140"/>
    <w:rsid w:val="002101A7"/>
    <w:rsid w:val="002154A1"/>
    <w:rsid w:val="00247202"/>
    <w:rsid w:val="00261A1F"/>
    <w:rsid w:val="00262532"/>
    <w:rsid w:val="00264672"/>
    <w:rsid w:val="002C0102"/>
    <w:rsid w:val="002D36A6"/>
    <w:rsid w:val="002D4636"/>
    <w:rsid w:val="002D7C21"/>
    <w:rsid w:val="003A5425"/>
    <w:rsid w:val="003C799A"/>
    <w:rsid w:val="0040005A"/>
    <w:rsid w:val="004027CB"/>
    <w:rsid w:val="00411DC9"/>
    <w:rsid w:val="004145E2"/>
    <w:rsid w:val="00420A9F"/>
    <w:rsid w:val="004D2A5A"/>
    <w:rsid w:val="005007F8"/>
    <w:rsid w:val="0052484A"/>
    <w:rsid w:val="00526DF1"/>
    <w:rsid w:val="00532E36"/>
    <w:rsid w:val="0053561E"/>
    <w:rsid w:val="005508E9"/>
    <w:rsid w:val="005633B3"/>
    <w:rsid w:val="005656CC"/>
    <w:rsid w:val="005A130E"/>
    <w:rsid w:val="005A4FB1"/>
    <w:rsid w:val="005E00B3"/>
    <w:rsid w:val="00603FC8"/>
    <w:rsid w:val="00610C67"/>
    <w:rsid w:val="006175C8"/>
    <w:rsid w:val="00655723"/>
    <w:rsid w:val="00667B1A"/>
    <w:rsid w:val="0069333E"/>
    <w:rsid w:val="006A19CA"/>
    <w:rsid w:val="006E4CDB"/>
    <w:rsid w:val="00746634"/>
    <w:rsid w:val="007B0AB6"/>
    <w:rsid w:val="007E0E36"/>
    <w:rsid w:val="007E4352"/>
    <w:rsid w:val="00837E5B"/>
    <w:rsid w:val="00853D91"/>
    <w:rsid w:val="00890A4C"/>
    <w:rsid w:val="008953FB"/>
    <w:rsid w:val="008E1B33"/>
    <w:rsid w:val="008E4330"/>
    <w:rsid w:val="008F1969"/>
    <w:rsid w:val="0090696D"/>
    <w:rsid w:val="009233F9"/>
    <w:rsid w:val="00960562"/>
    <w:rsid w:val="009774FA"/>
    <w:rsid w:val="00987C33"/>
    <w:rsid w:val="009E03C2"/>
    <w:rsid w:val="009E6009"/>
    <w:rsid w:val="009E6447"/>
    <w:rsid w:val="009F285E"/>
    <w:rsid w:val="00A045BD"/>
    <w:rsid w:val="00A219C1"/>
    <w:rsid w:val="00A352CE"/>
    <w:rsid w:val="00A37539"/>
    <w:rsid w:val="00A406BD"/>
    <w:rsid w:val="00A409CB"/>
    <w:rsid w:val="00A47F36"/>
    <w:rsid w:val="00A82D06"/>
    <w:rsid w:val="00A845A4"/>
    <w:rsid w:val="00AD4AF8"/>
    <w:rsid w:val="00AD5E2C"/>
    <w:rsid w:val="00B139A4"/>
    <w:rsid w:val="00B5199B"/>
    <w:rsid w:val="00B62E31"/>
    <w:rsid w:val="00B67CC0"/>
    <w:rsid w:val="00B80BAB"/>
    <w:rsid w:val="00B97DBD"/>
    <w:rsid w:val="00BC6500"/>
    <w:rsid w:val="00BD027D"/>
    <w:rsid w:val="00C219AC"/>
    <w:rsid w:val="00C43A5A"/>
    <w:rsid w:val="00C77FAD"/>
    <w:rsid w:val="00C84C44"/>
    <w:rsid w:val="00C97615"/>
    <w:rsid w:val="00CB2CC1"/>
    <w:rsid w:val="00D01742"/>
    <w:rsid w:val="00D21325"/>
    <w:rsid w:val="00D27E46"/>
    <w:rsid w:val="00D81FB7"/>
    <w:rsid w:val="00DB1170"/>
    <w:rsid w:val="00DC3DAA"/>
    <w:rsid w:val="00DC5776"/>
    <w:rsid w:val="00E54121"/>
    <w:rsid w:val="00E970B0"/>
    <w:rsid w:val="00EC3356"/>
    <w:rsid w:val="00EE7B5A"/>
    <w:rsid w:val="00F05E69"/>
    <w:rsid w:val="00F16CAC"/>
    <w:rsid w:val="00F3674F"/>
    <w:rsid w:val="00F44636"/>
    <w:rsid w:val="00F662A3"/>
    <w:rsid w:val="00F75F1F"/>
    <w:rsid w:val="00FA4904"/>
    <w:rsid w:val="00FC4594"/>
    <w:rsid w:val="00FF094F"/>
    <w:rsid w:val="37E23D24"/>
    <w:rsid w:val="FFDDB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标题 1 Char"/>
    <w:basedOn w:val="6"/>
    <w:link w:val="2"/>
    <w:qFormat/>
    <w:uiPriority w:val="0"/>
    <w:rPr>
      <w:rFonts w:ascii="宋体" w:hAnsi="宋体"/>
      <w:b/>
      <w:kern w:val="44"/>
      <w:sz w:val="48"/>
      <w:szCs w:val="48"/>
    </w:rPr>
  </w:style>
  <w:style w:type="paragraph" w:customStyle="1" w:styleId="9">
    <w:name w:val="正文-公1"/>
    <w:basedOn w:val="1"/>
    <w:qFormat/>
    <w:uiPriority w:val="0"/>
    <w:pPr>
      <w:ind w:firstLine="200" w:firstLineChars="200"/>
    </w:pPr>
    <w:rPr>
      <w:rFonts w:ascii="Calibri" w:hAnsi="Calibri" w:cs="Calibri"/>
      <w:szCs w:val="21"/>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E:\2023\&#27169;&#29256;\&#34892;&#25919;&#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行政文.dot</Template>
  <Company>微软中国</Company>
  <Pages>24</Pages>
  <Words>2178</Words>
  <Characters>12415</Characters>
  <Lines>103</Lines>
  <Paragraphs>29</Paragraphs>
  <TotalTime>5</TotalTime>
  <ScaleCrop>false</ScaleCrop>
  <LinksUpToDate>false</LinksUpToDate>
  <CharactersWithSpaces>14564</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2023-11-08T23:38:00Z</dcterms:created>
  <dc:creator>文印</dc:creator>
  <cp:lastModifiedBy>greatwall</cp:lastModifiedBy>
  <cp:lastPrinted>2023-11-17T08:36:00Z</cp:lastPrinted>
  <dcterms:modified xsi:type="dcterms:W3CDTF">2023-11-27T08:00:05Z</dcterms:modified>
  <dc:title>湘交〔2012〕号</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