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7789" w:rsidRDefault="008C7789">
      <w:pPr>
        <w:pStyle w:val="3"/>
        <w:widowControl/>
        <w:spacing w:beforeAutospacing="0" w:afterAutospacing="0"/>
        <w:jc w:val="center"/>
        <w:rPr>
          <w:rFonts w:ascii="方正小标宋简体" w:eastAsia="方正小标宋简体" w:hAnsi="方正小标宋简体" w:cs="方正小标宋简体" w:hint="default"/>
          <w:color w:val="3D79AC"/>
          <w:sz w:val="36"/>
          <w:szCs w:val="36"/>
        </w:rPr>
      </w:pPr>
    </w:p>
    <w:p w:rsidR="008C7789" w:rsidRDefault="00000000">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HNPR-2022-05014</w:t>
      </w:r>
    </w:p>
    <w:p w:rsidR="008C7789" w:rsidRDefault="008C7789">
      <w:pPr>
        <w:rPr>
          <w:rFonts w:ascii="方正小标宋简体" w:eastAsia="方正小标宋简体" w:hAnsi="方正小标宋简体" w:cs="方正小标宋简体"/>
          <w:b/>
          <w:color w:val="3D79AC"/>
          <w:sz w:val="36"/>
          <w:szCs w:val="36"/>
        </w:rPr>
      </w:pPr>
    </w:p>
    <w:p w:rsidR="008C7789" w:rsidRDefault="00000000">
      <w:pPr>
        <w:pStyle w:val="3"/>
        <w:widowControl/>
        <w:spacing w:beforeAutospacing="0" w:afterAutospacing="0"/>
        <w:jc w:val="center"/>
        <w:rPr>
          <w:rFonts w:ascii="方正小标宋简体" w:eastAsia="方正小标宋简体" w:hAnsi="方正小标宋简体" w:cs="方正小标宋简体" w:hint="default"/>
          <w:b w:val="0"/>
          <w:bCs/>
          <w:sz w:val="40"/>
          <w:szCs w:val="40"/>
          <w:lang w:val="en"/>
        </w:rPr>
      </w:pPr>
      <w:r>
        <w:rPr>
          <w:rFonts w:ascii="方正小标宋简体" w:eastAsia="方正小标宋简体" w:hAnsi="方正小标宋简体" w:cs="方正小标宋简体"/>
          <w:b w:val="0"/>
          <w:bCs/>
          <w:sz w:val="40"/>
          <w:szCs w:val="40"/>
          <w:lang w:val="en"/>
        </w:rPr>
        <w:t>湖南省工业和信息化厅</w:t>
      </w:r>
    </w:p>
    <w:p w:rsidR="008C7789" w:rsidRDefault="00000000">
      <w:pPr>
        <w:pStyle w:val="3"/>
        <w:widowControl/>
        <w:spacing w:beforeAutospacing="0" w:afterAutospacing="0"/>
        <w:jc w:val="center"/>
        <w:rPr>
          <w:rFonts w:ascii="方正小标宋简体" w:eastAsia="方正小标宋简体" w:hAnsi="方正小标宋简体" w:cs="方正小标宋简体" w:hint="default"/>
          <w:b w:val="0"/>
          <w:bCs/>
          <w:sz w:val="40"/>
          <w:szCs w:val="40"/>
        </w:rPr>
      </w:pPr>
      <w:r>
        <w:rPr>
          <w:rFonts w:ascii="方正小标宋简体" w:eastAsia="方正小标宋简体" w:hAnsi="方正小标宋简体" w:cs="方正小标宋简体"/>
          <w:b w:val="0"/>
          <w:bCs/>
          <w:sz w:val="40"/>
          <w:szCs w:val="40"/>
        </w:rPr>
        <w:t>关于印发《湖南省制造业知识产权运用标杆企业认定管理办法》的通知</w:t>
      </w:r>
    </w:p>
    <w:p w:rsidR="008C7789" w:rsidRDefault="008C7789">
      <w:pPr>
        <w:pStyle w:val="a3"/>
        <w:widowControl/>
        <w:shd w:val="clear" w:color="auto" w:fill="FFFFFF"/>
        <w:spacing w:beforeAutospacing="0" w:afterAutospacing="0"/>
        <w:jc w:val="center"/>
        <w:rPr>
          <w:rFonts w:ascii="微软雅黑" w:eastAsia="微软雅黑" w:hAnsi="微软雅黑" w:cs="微软雅黑"/>
          <w:color w:val="3B3B3B"/>
          <w:sz w:val="21"/>
          <w:szCs w:val="21"/>
          <w:shd w:val="clear" w:color="auto" w:fill="FFFFFF"/>
        </w:rPr>
      </w:pPr>
    </w:p>
    <w:p w:rsidR="008C7789" w:rsidRDefault="00000000">
      <w:pPr>
        <w:pStyle w:val="a3"/>
        <w:widowControl/>
        <w:shd w:val="clear" w:color="auto" w:fill="FFFFFF"/>
        <w:spacing w:beforeAutospacing="0" w:afterAutospacing="0"/>
        <w:jc w:val="center"/>
        <w:rPr>
          <w:rFonts w:ascii="方正楷体_GBK" w:eastAsia="方正楷体_GBK" w:hAnsi="方正楷体_GBK" w:cs="方正楷体_GBK"/>
          <w:color w:val="3B3B3B"/>
          <w:sz w:val="32"/>
          <w:szCs w:val="32"/>
        </w:rPr>
      </w:pPr>
      <w:proofErr w:type="gramStart"/>
      <w:r>
        <w:rPr>
          <w:rFonts w:ascii="方正楷体_GBK" w:eastAsia="方正楷体_GBK" w:hAnsi="方正楷体_GBK" w:cs="方正楷体_GBK" w:hint="eastAsia"/>
          <w:color w:val="3B3B3B"/>
          <w:sz w:val="32"/>
          <w:szCs w:val="32"/>
          <w:shd w:val="clear" w:color="auto" w:fill="FFFFFF"/>
        </w:rPr>
        <w:t>湘工信</w:t>
      </w:r>
      <w:proofErr w:type="gramEnd"/>
      <w:r>
        <w:rPr>
          <w:rFonts w:ascii="方正楷体_GBK" w:eastAsia="方正楷体_GBK" w:hAnsi="方正楷体_GBK" w:cs="方正楷体_GBK" w:hint="eastAsia"/>
          <w:color w:val="3B3B3B"/>
          <w:sz w:val="32"/>
          <w:szCs w:val="32"/>
          <w:shd w:val="clear" w:color="auto" w:fill="FFFFFF"/>
        </w:rPr>
        <w:t>科技〔2022〕561号</w:t>
      </w:r>
    </w:p>
    <w:p w:rsidR="008C7789" w:rsidRDefault="00000000">
      <w:pPr>
        <w:pStyle w:val="a3"/>
        <w:widowControl/>
        <w:shd w:val="clear" w:color="auto" w:fill="FFFFFF"/>
        <w:spacing w:beforeAutospacing="0" w:afterAutospacing="0"/>
        <w:rPr>
          <w:rFonts w:ascii="微软雅黑" w:eastAsia="微软雅黑" w:hAnsi="微软雅黑" w:cs="微软雅黑"/>
          <w:color w:val="3B3B3B"/>
          <w:sz w:val="21"/>
          <w:szCs w:val="21"/>
        </w:rPr>
      </w:pPr>
      <w:r>
        <w:rPr>
          <w:rFonts w:ascii="微软雅黑" w:eastAsia="微软雅黑" w:hAnsi="微软雅黑" w:cs="微软雅黑"/>
          <w:color w:val="3B3B3B"/>
          <w:sz w:val="21"/>
          <w:szCs w:val="21"/>
          <w:shd w:val="clear" w:color="auto" w:fill="FFFFFF"/>
        </w:rPr>
        <w:t>     </w:t>
      </w:r>
    </w:p>
    <w:p w:rsidR="008C7789" w:rsidRDefault="00000000">
      <w:pPr>
        <w:pStyle w:val="a3"/>
        <w:widowControl/>
        <w:shd w:val="clear" w:color="auto" w:fill="FFFFFF"/>
        <w:spacing w:beforeAutospacing="0" w:afterAutospacing="0"/>
        <w:jc w:val="both"/>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各市州工信局，有关企业：</w:t>
      </w:r>
    </w:p>
    <w:p w:rsidR="008C7789" w:rsidRDefault="00000000">
      <w:pPr>
        <w:pStyle w:val="a3"/>
        <w:widowControl/>
        <w:shd w:val="clear" w:color="auto" w:fill="FFFFFF"/>
        <w:spacing w:beforeAutospacing="0" w:afterAutospacing="0"/>
        <w:jc w:val="both"/>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为全面落实“三高四新”战略定位和使命任务，引导和支持企业提升知识产权运用能力，提高企业核心竞争力，推动我省制造业高质量发展，根据工信部和省委省政府有关文件精神，我厅制定了《湖南省制造业知识产权运用标杆企业认定管理办法</w:t>
      </w:r>
      <w:proofErr w:type="gramStart"/>
      <w:r>
        <w:rPr>
          <w:rFonts w:ascii="仿宋_GB2312" w:eastAsia="仿宋_GB2312" w:hAnsi="仿宋_GB2312" w:cs="仿宋_GB2312" w:hint="eastAsia"/>
          <w:color w:val="3B3B3B"/>
          <w:sz w:val="32"/>
          <w:szCs w:val="32"/>
          <w:shd w:val="clear" w:color="auto" w:fill="FFFFFF"/>
        </w:rPr>
        <w:t>》</w:t>
      </w:r>
      <w:proofErr w:type="gramEnd"/>
      <w:r>
        <w:rPr>
          <w:rFonts w:ascii="仿宋_GB2312" w:eastAsia="仿宋_GB2312" w:hAnsi="仿宋_GB2312" w:cs="仿宋_GB2312" w:hint="eastAsia"/>
          <w:color w:val="3B3B3B"/>
          <w:sz w:val="32"/>
          <w:szCs w:val="32"/>
          <w:shd w:val="clear" w:color="auto" w:fill="FFFFFF"/>
        </w:rPr>
        <w:t>，现印发给你们，请认真组织实施。</w:t>
      </w:r>
    </w:p>
    <w:p w:rsidR="008C7789" w:rsidRDefault="00000000">
      <w:pPr>
        <w:pStyle w:val="a3"/>
        <w:widowControl/>
        <w:shd w:val="clear" w:color="auto" w:fill="FFFFFF"/>
        <w:spacing w:beforeAutospacing="0" w:afterAutospacing="0"/>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w:t>
      </w:r>
    </w:p>
    <w:p w:rsidR="008C7789" w:rsidRDefault="00000000">
      <w:pPr>
        <w:pStyle w:val="a3"/>
        <w:widowControl/>
        <w:shd w:val="clear" w:color="auto" w:fill="FFFFFF"/>
        <w:spacing w:beforeAutospacing="0" w:afterAutospacing="0"/>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w:t>
      </w:r>
    </w:p>
    <w:p w:rsidR="008C7789" w:rsidRDefault="00000000">
      <w:pPr>
        <w:pStyle w:val="a3"/>
        <w:widowControl/>
        <w:shd w:val="clear" w:color="auto" w:fill="FFFFFF"/>
        <w:spacing w:beforeAutospacing="0" w:afterAutospacing="0"/>
        <w:jc w:val="righ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湖南省工业和信息化厅</w:t>
      </w:r>
    </w:p>
    <w:p w:rsidR="008C7789" w:rsidRDefault="00000000">
      <w:pPr>
        <w:pStyle w:val="a3"/>
        <w:widowControl/>
        <w:shd w:val="clear" w:color="auto" w:fill="FFFFFF"/>
        <w:spacing w:beforeAutospacing="0" w:afterAutospacing="0"/>
        <w:jc w:val="right"/>
        <w:rPr>
          <w:rFonts w:ascii="仿宋_GB2312" w:eastAsia="仿宋_GB2312" w:hAnsi="仿宋_GB2312" w:cs="仿宋_GB2312"/>
          <w:color w:val="3B3B3B"/>
          <w:sz w:val="32"/>
          <w:szCs w:val="32"/>
          <w:shd w:val="clear" w:color="auto" w:fill="FFFFFF"/>
        </w:rPr>
      </w:pPr>
      <w:r>
        <w:rPr>
          <w:rFonts w:ascii="仿宋_GB2312" w:eastAsia="仿宋_GB2312" w:hAnsi="仿宋_GB2312" w:cs="仿宋_GB2312"/>
          <w:color w:val="3B3B3B"/>
          <w:sz w:val="32"/>
          <w:szCs w:val="32"/>
          <w:shd w:val="clear" w:color="auto" w:fill="FFFFFF"/>
          <w:lang w:val="en"/>
        </w:rPr>
        <w:t xml:space="preserve">     </w:t>
      </w:r>
      <w:r>
        <w:rPr>
          <w:rFonts w:ascii="仿宋_GB2312" w:eastAsia="仿宋_GB2312" w:hAnsi="仿宋_GB2312" w:cs="仿宋_GB2312" w:hint="eastAsia"/>
          <w:color w:val="3B3B3B"/>
          <w:sz w:val="32"/>
          <w:szCs w:val="32"/>
          <w:shd w:val="clear" w:color="auto" w:fill="FFFFFF"/>
        </w:rPr>
        <w:t>2022年12月9日   </w:t>
      </w:r>
    </w:p>
    <w:p w:rsidR="008C7789" w:rsidRDefault="008C7789">
      <w:pPr>
        <w:pStyle w:val="a3"/>
        <w:widowControl/>
        <w:shd w:val="clear" w:color="auto" w:fill="FFFFFF"/>
        <w:spacing w:beforeAutospacing="0" w:afterAutospacing="0"/>
        <w:jc w:val="right"/>
        <w:rPr>
          <w:rFonts w:ascii="仿宋_GB2312" w:eastAsia="仿宋_GB2312" w:hAnsi="仿宋_GB2312" w:cs="仿宋_GB2312"/>
          <w:color w:val="3B3B3B"/>
          <w:sz w:val="32"/>
          <w:szCs w:val="32"/>
          <w:shd w:val="clear" w:color="auto" w:fill="FFFFFF"/>
        </w:rPr>
      </w:pPr>
    </w:p>
    <w:p w:rsidR="008C7789" w:rsidRDefault="008C7789">
      <w:pPr>
        <w:pStyle w:val="a3"/>
        <w:widowControl/>
        <w:shd w:val="clear" w:color="auto" w:fill="FFFFFF"/>
        <w:spacing w:beforeAutospacing="0" w:afterAutospacing="0"/>
        <w:jc w:val="right"/>
        <w:rPr>
          <w:rFonts w:ascii="仿宋_GB2312" w:eastAsia="仿宋_GB2312" w:hAnsi="仿宋_GB2312" w:cs="仿宋_GB2312"/>
          <w:color w:val="3B3B3B"/>
          <w:sz w:val="32"/>
          <w:szCs w:val="32"/>
          <w:shd w:val="clear" w:color="auto" w:fill="FFFFFF"/>
        </w:rPr>
      </w:pPr>
    </w:p>
    <w:p w:rsidR="008C7789" w:rsidRDefault="008C7789">
      <w:pPr>
        <w:pStyle w:val="a3"/>
        <w:widowControl/>
        <w:shd w:val="clear" w:color="auto" w:fill="FFFFFF"/>
        <w:spacing w:beforeAutospacing="0" w:afterAutospacing="0"/>
        <w:jc w:val="right"/>
        <w:rPr>
          <w:rFonts w:ascii="仿宋_GB2312" w:eastAsia="仿宋_GB2312" w:hAnsi="仿宋_GB2312" w:cs="仿宋_GB2312"/>
          <w:color w:val="3B3B3B"/>
          <w:sz w:val="32"/>
          <w:szCs w:val="32"/>
          <w:shd w:val="clear" w:color="auto" w:fill="FFFFFF"/>
        </w:rPr>
      </w:pPr>
    </w:p>
    <w:p w:rsidR="008C7789" w:rsidRDefault="008C7789">
      <w:pPr>
        <w:widowControl/>
        <w:spacing w:line="560" w:lineRule="exact"/>
        <w:jc w:val="left"/>
        <w:rPr>
          <w:rFonts w:ascii="黑体" w:eastAsia="黑体" w:hAnsi="黑体" w:cs="黑体"/>
        </w:rPr>
      </w:pPr>
    </w:p>
    <w:p w:rsidR="008C7789" w:rsidRDefault="00000000">
      <w:pPr>
        <w:pStyle w:val="a3"/>
        <w:widowControl/>
        <w:shd w:val="clear" w:color="auto" w:fill="FFFFFF"/>
        <w:spacing w:beforeAutospacing="0" w:afterAutospacing="0" w:line="560" w:lineRule="exact"/>
        <w:jc w:val="center"/>
        <w:rPr>
          <w:rFonts w:ascii="方正小标宋简体" w:eastAsia="方正小标宋简体" w:hAnsi="方正小标宋简体" w:cs="方正小标宋简体"/>
          <w:bCs/>
          <w:color w:val="3B3B3B"/>
          <w:sz w:val="40"/>
          <w:szCs w:val="40"/>
          <w:shd w:val="clear" w:color="auto" w:fill="FFFFFF"/>
        </w:rPr>
      </w:pPr>
      <w:r>
        <w:rPr>
          <w:rFonts w:ascii="方正小标宋简体" w:eastAsia="方正小标宋简体" w:hAnsi="方正小标宋简体" w:cs="方正小标宋简体" w:hint="eastAsia"/>
          <w:bCs/>
          <w:color w:val="3B3B3B"/>
          <w:sz w:val="40"/>
          <w:szCs w:val="40"/>
          <w:shd w:val="clear" w:color="auto" w:fill="FFFFFF"/>
        </w:rPr>
        <w:t>湖南省制造业知识产权运用标杆企业</w:t>
      </w:r>
    </w:p>
    <w:p w:rsidR="008C7789" w:rsidRDefault="00000000">
      <w:pPr>
        <w:pStyle w:val="a3"/>
        <w:widowControl/>
        <w:shd w:val="clear" w:color="auto" w:fill="FFFFFF"/>
        <w:spacing w:beforeAutospacing="0" w:afterAutospacing="0" w:line="560" w:lineRule="exact"/>
        <w:jc w:val="center"/>
        <w:rPr>
          <w:rFonts w:ascii="方正小标宋简体" w:eastAsia="方正小标宋简体" w:hAnsi="方正小标宋简体" w:cs="方正小标宋简体"/>
          <w:bCs/>
          <w:color w:val="3B3B3B"/>
          <w:sz w:val="40"/>
          <w:szCs w:val="40"/>
        </w:rPr>
      </w:pPr>
      <w:r>
        <w:rPr>
          <w:rFonts w:ascii="方正小标宋简体" w:eastAsia="方正小标宋简体" w:hAnsi="方正小标宋简体" w:cs="方正小标宋简体" w:hint="eastAsia"/>
          <w:bCs/>
          <w:color w:val="3B3B3B"/>
          <w:sz w:val="40"/>
          <w:szCs w:val="40"/>
          <w:shd w:val="clear" w:color="auto" w:fill="FFFFFF"/>
        </w:rPr>
        <w:t>认定管理办法</w:t>
      </w:r>
    </w:p>
    <w:p w:rsidR="008C7789" w:rsidRDefault="00000000">
      <w:pPr>
        <w:pStyle w:val="a3"/>
        <w:widowControl/>
        <w:shd w:val="clear" w:color="auto" w:fill="FFFFFF"/>
        <w:spacing w:beforeAutospacing="0" w:afterAutospacing="0" w:line="560" w:lineRule="exact"/>
        <w:rPr>
          <w:rFonts w:ascii="微软雅黑" w:eastAsia="微软雅黑" w:hAnsi="微软雅黑" w:cs="微软雅黑"/>
          <w:bCs/>
          <w:color w:val="3B3B3B"/>
          <w:sz w:val="40"/>
          <w:szCs w:val="40"/>
        </w:rPr>
      </w:pPr>
      <w:r>
        <w:rPr>
          <w:rFonts w:ascii="微软雅黑" w:eastAsia="微软雅黑" w:hAnsi="微软雅黑" w:cs="微软雅黑"/>
          <w:bCs/>
          <w:color w:val="3B3B3B"/>
          <w:sz w:val="40"/>
          <w:szCs w:val="40"/>
          <w:shd w:val="clear" w:color="auto" w:fill="FFFFFF"/>
        </w:rPr>
        <w:t>     </w:t>
      </w:r>
    </w:p>
    <w:p w:rsidR="008C7789" w:rsidRDefault="00000000">
      <w:pPr>
        <w:pStyle w:val="a3"/>
        <w:widowControl/>
        <w:shd w:val="clear" w:color="auto" w:fill="FFFFFF"/>
        <w:spacing w:beforeAutospacing="0" w:afterAutospacing="0" w:line="560" w:lineRule="exact"/>
        <w:jc w:val="center"/>
        <w:rPr>
          <w:rFonts w:ascii="黑体" w:eastAsia="黑体" w:hAnsi="黑体" w:cs="黑体"/>
          <w:color w:val="3B3B3B"/>
          <w:sz w:val="32"/>
          <w:szCs w:val="32"/>
        </w:rPr>
      </w:pPr>
      <w:r>
        <w:rPr>
          <w:rFonts w:ascii="黑体" w:eastAsia="黑体" w:hAnsi="黑体" w:cs="黑体" w:hint="eastAsia"/>
          <w:color w:val="3B3B3B"/>
          <w:sz w:val="32"/>
          <w:szCs w:val="32"/>
          <w:shd w:val="clear" w:color="auto" w:fill="FFFFFF"/>
        </w:rPr>
        <w:t>第一章 总 则</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微软雅黑" w:eastAsia="微软雅黑" w:hAnsi="微软雅黑" w:cs="微软雅黑"/>
          <w:b/>
          <w:color w:val="3B3B3B"/>
          <w:sz w:val="32"/>
          <w:szCs w:val="32"/>
          <w:shd w:val="clear" w:color="auto" w:fill="FFFFFF"/>
        </w:rPr>
        <w:t>    </w:t>
      </w:r>
      <w:r>
        <w:rPr>
          <w:rFonts w:ascii="仿宋_GB2312" w:eastAsia="仿宋_GB2312" w:hAnsi="仿宋_GB2312" w:cs="仿宋_GB2312" w:hint="eastAsia"/>
          <w:b/>
          <w:color w:val="3B3B3B"/>
          <w:sz w:val="32"/>
          <w:szCs w:val="32"/>
          <w:shd w:val="clear" w:color="auto" w:fill="FFFFFF"/>
        </w:rPr>
        <w:t>第一条  </w:t>
      </w:r>
      <w:r>
        <w:rPr>
          <w:rFonts w:ascii="仿宋_GB2312" w:eastAsia="仿宋_GB2312" w:hAnsi="仿宋_GB2312" w:cs="仿宋_GB2312" w:hint="eastAsia"/>
          <w:color w:val="3B3B3B"/>
          <w:sz w:val="32"/>
          <w:szCs w:val="32"/>
          <w:shd w:val="clear" w:color="auto" w:fill="FFFFFF"/>
        </w:rPr>
        <w:t>为全面落实“三高四新”战略定位和使命任务，引导和支持企业提升知识产权运用能力，提高企业核心竞争力，推动我省制造业高质量发展，根据《知识产权强国建设纲要（2021-2035年）》和工信部、省委省政府有关文件精神，结合我省实际，特制定本办法。</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    第二条  </w:t>
      </w:r>
      <w:r>
        <w:rPr>
          <w:rFonts w:ascii="仿宋_GB2312" w:eastAsia="仿宋_GB2312" w:hAnsi="仿宋_GB2312" w:cs="仿宋_GB2312" w:hint="eastAsia"/>
          <w:color w:val="3B3B3B"/>
          <w:sz w:val="32"/>
          <w:szCs w:val="32"/>
          <w:shd w:val="clear" w:color="auto" w:fill="FFFFFF"/>
        </w:rPr>
        <w:t>湖南省制造业知识产权运用标杆企业（以下简称“标杆企业”）是指我省制造业中知识产权数量密集、知识产权工作基础扎实、知识产权运用成效突出、规模和效益良好、具有重要示范引领作用且通过省认定的企业。</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    第三条 </w:t>
      </w:r>
      <w:r>
        <w:rPr>
          <w:rFonts w:ascii="仿宋_GB2312" w:eastAsia="仿宋_GB2312" w:hAnsi="仿宋_GB2312" w:cs="仿宋_GB2312" w:hint="eastAsia"/>
          <w:color w:val="3B3B3B"/>
          <w:sz w:val="32"/>
          <w:szCs w:val="32"/>
          <w:shd w:val="clear" w:color="auto" w:fill="FFFFFF"/>
        </w:rPr>
        <w:t> 标杆企业认定遵循公开透明、科学严谨、优中选优的原则。</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    第四条  </w:t>
      </w:r>
      <w:r>
        <w:rPr>
          <w:rFonts w:ascii="仿宋_GB2312" w:eastAsia="仿宋_GB2312" w:hAnsi="仿宋_GB2312" w:cs="仿宋_GB2312" w:hint="eastAsia"/>
          <w:color w:val="3B3B3B"/>
          <w:sz w:val="32"/>
          <w:szCs w:val="32"/>
          <w:shd w:val="clear" w:color="auto" w:fill="FFFFFF"/>
        </w:rPr>
        <w:t>省工业和信息化厅（以下简称“省工信厅”）负责标杆企业的指导、认定和管理等相关工作。各市州工业和信息化局（以下简称“市州工信局”）负责本区域标杆企业的初审、推荐并配合做好相关组织协调工作。</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w:t>
      </w:r>
    </w:p>
    <w:p w:rsidR="008C7789" w:rsidRDefault="00000000">
      <w:pPr>
        <w:pStyle w:val="a3"/>
        <w:widowControl/>
        <w:shd w:val="clear" w:color="auto" w:fill="FFFFFF"/>
        <w:spacing w:beforeAutospacing="0" w:afterAutospacing="0" w:line="560" w:lineRule="exact"/>
        <w:jc w:val="center"/>
        <w:rPr>
          <w:rFonts w:ascii="黑体" w:eastAsia="黑体" w:hAnsi="黑体" w:cs="黑体"/>
          <w:color w:val="3B3B3B"/>
          <w:sz w:val="32"/>
          <w:szCs w:val="32"/>
        </w:rPr>
      </w:pPr>
      <w:r>
        <w:rPr>
          <w:rFonts w:ascii="黑体" w:eastAsia="黑体" w:hAnsi="黑体" w:cs="黑体" w:hint="eastAsia"/>
          <w:color w:val="3B3B3B"/>
          <w:sz w:val="32"/>
          <w:szCs w:val="32"/>
          <w:shd w:val="clear" w:color="auto" w:fill="FFFFFF"/>
        </w:rPr>
        <w:t>第二章 申报条件</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lastRenderedPageBreak/>
        <w:t>    第五条  </w:t>
      </w:r>
      <w:r>
        <w:rPr>
          <w:rFonts w:ascii="仿宋_GB2312" w:eastAsia="仿宋_GB2312" w:hAnsi="仿宋_GB2312" w:cs="仿宋_GB2312" w:hint="eastAsia"/>
          <w:color w:val="3B3B3B"/>
          <w:sz w:val="32"/>
          <w:szCs w:val="32"/>
          <w:shd w:val="clear" w:color="auto" w:fill="FFFFFF"/>
        </w:rPr>
        <w:t>申报企业应具备以下基本条件：</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    （一）省内注册、经营，具有独立法人资格的规模以上工业企业。</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    （二）经营业绩、综合效益良好，近三年无产品质量监督抽查不合格记录和不良信用记录，在质量、安全、环保等方面无重大责任事故。</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    （三）技术创新能力突出，建有省级及以上企业技术中心等研发平台，上一年度企业研发经费占营业收入比重不低于3%。</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    （四）知识产权基础工作扎实，知识产权组织机构健全和规章制度完备，知识产权工作对企业生产经营发展产生明显的推动作用。</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    （五）知识产权创造质量高，企业专利布局合理，核心专利技术达到国家或同行业先进水平。知识产权拥有数量15件以上（其中，近三年通过自主研发授权发明专利1件以上），并维持为有效状态。</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    （六）知识产权运用效益明显，企业知识产权在其主导产品上得以应用。品牌产品占企业主营业务收入比例不低于30%。</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    （七）近3年知识产权转让许可、质押融资或产学研用协同等有效运用知识产权典型案例不少于1件。</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w:t>
      </w:r>
    </w:p>
    <w:p w:rsidR="008C7789" w:rsidRDefault="00000000">
      <w:pPr>
        <w:pStyle w:val="a3"/>
        <w:widowControl/>
        <w:shd w:val="clear" w:color="auto" w:fill="FFFFFF"/>
        <w:spacing w:beforeAutospacing="0" w:afterAutospacing="0" w:line="560" w:lineRule="exact"/>
        <w:jc w:val="center"/>
        <w:rPr>
          <w:rFonts w:ascii="黑体" w:eastAsia="黑体" w:hAnsi="黑体" w:cs="黑体"/>
          <w:color w:val="3B3B3B"/>
          <w:sz w:val="32"/>
          <w:szCs w:val="32"/>
        </w:rPr>
      </w:pPr>
      <w:r>
        <w:rPr>
          <w:rFonts w:ascii="黑体" w:eastAsia="黑体" w:hAnsi="黑体" w:cs="黑体" w:hint="eastAsia"/>
          <w:color w:val="3B3B3B"/>
          <w:sz w:val="32"/>
          <w:szCs w:val="32"/>
          <w:shd w:val="clear" w:color="auto" w:fill="FFFFFF"/>
        </w:rPr>
        <w:t>第三章 认定程序</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lastRenderedPageBreak/>
        <w:t>    第六条 </w:t>
      </w:r>
      <w:r>
        <w:rPr>
          <w:rFonts w:ascii="仿宋_GB2312" w:eastAsia="仿宋_GB2312" w:hAnsi="仿宋_GB2312" w:cs="仿宋_GB2312" w:hint="eastAsia"/>
          <w:color w:val="3B3B3B"/>
          <w:sz w:val="32"/>
          <w:szCs w:val="32"/>
          <w:shd w:val="clear" w:color="auto" w:fill="FFFFFF"/>
        </w:rPr>
        <w:t> 根据年度申报通知，符合条件的企业自愿向所在市州工信局提出申请并按要求报送申报材料。</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    第七条  </w:t>
      </w:r>
      <w:r>
        <w:rPr>
          <w:rFonts w:ascii="仿宋_GB2312" w:eastAsia="仿宋_GB2312" w:hAnsi="仿宋_GB2312" w:cs="仿宋_GB2312" w:hint="eastAsia"/>
          <w:color w:val="3B3B3B"/>
          <w:sz w:val="32"/>
          <w:szCs w:val="32"/>
          <w:shd w:val="clear" w:color="auto" w:fill="FFFFFF"/>
        </w:rPr>
        <w:t>市州工信局对企业申报材料进行审查核实，择优向</w:t>
      </w:r>
      <w:proofErr w:type="gramStart"/>
      <w:r>
        <w:rPr>
          <w:rFonts w:ascii="仿宋_GB2312" w:eastAsia="仿宋_GB2312" w:hAnsi="仿宋_GB2312" w:cs="仿宋_GB2312" w:hint="eastAsia"/>
          <w:color w:val="3B3B3B"/>
          <w:sz w:val="32"/>
          <w:szCs w:val="32"/>
          <w:shd w:val="clear" w:color="auto" w:fill="FFFFFF"/>
        </w:rPr>
        <w:t>省工信厅推荐</w:t>
      </w:r>
      <w:proofErr w:type="gramEnd"/>
      <w:r>
        <w:rPr>
          <w:rFonts w:ascii="仿宋_GB2312" w:eastAsia="仿宋_GB2312" w:hAnsi="仿宋_GB2312" w:cs="仿宋_GB2312" w:hint="eastAsia"/>
          <w:color w:val="3B3B3B"/>
          <w:sz w:val="32"/>
          <w:szCs w:val="32"/>
          <w:shd w:val="clear" w:color="auto" w:fill="FFFFFF"/>
        </w:rPr>
        <w:t>。</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    第八条</w:t>
      </w:r>
      <w:r>
        <w:rPr>
          <w:rFonts w:ascii="仿宋_GB2312" w:eastAsia="仿宋_GB2312" w:hAnsi="仿宋_GB2312" w:cs="仿宋_GB2312" w:hint="eastAsia"/>
          <w:color w:val="3B3B3B"/>
          <w:sz w:val="32"/>
          <w:szCs w:val="32"/>
          <w:shd w:val="clear" w:color="auto" w:fill="FFFFFF"/>
        </w:rPr>
        <w:t>  </w:t>
      </w:r>
      <w:proofErr w:type="gramStart"/>
      <w:r>
        <w:rPr>
          <w:rFonts w:ascii="仿宋_GB2312" w:eastAsia="仿宋_GB2312" w:hAnsi="仿宋_GB2312" w:cs="仿宋_GB2312" w:hint="eastAsia"/>
          <w:color w:val="3B3B3B"/>
          <w:sz w:val="32"/>
          <w:szCs w:val="32"/>
          <w:shd w:val="clear" w:color="auto" w:fill="FFFFFF"/>
        </w:rPr>
        <w:t>省工信厅组织</w:t>
      </w:r>
      <w:proofErr w:type="gramEnd"/>
      <w:r>
        <w:rPr>
          <w:rFonts w:ascii="仿宋_GB2312" w:eastAsia="仿宋_GB2312" w:hAnsi="仿宋_GB2312" w:cs="仿宋_GB2312" w:hint="eastAsia"/>
          <w:color w:val="3B3B3B"/>
          <w:sz w:val="32"/>
          <w:szCs w:val="32"/>
          <w:shd w:val="clear" w:color="auto" w:fill="FFFFFF"/>
        </w:rPr>
        <w:t>有关专家对企业申报材料进行评审，必要时组织答辩或实地考察。</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    第九条  </w:t>
      </w:r>
      <w:proofErr w:type="gramStart"/>
      <w:r>
        <w:rPr>
          <w:rFonts w:ascii="仿宋_GB2312" w:eastAsia="仿宋_GB2312" w:hAnsi="仿宋_GB2312" w:cs="仿宋_GB2312" w:hint="eastAsia"/>
          <w:color w:val="3B3B3B"/>
          <w:sz w:val="32"/>
          <w:szCs w:val="32"/>
          <w:shd w:val="clear" w:color="auto" w:fill="FFFFFF"/>
        </w:rPr>
        <w:t>省工信厅根据</w:t>
      </w:r>
      <w:proofErr w:type="gramEnd"/>
      <w:r>
        <w:rPr>
          <w:rFonts w:ascii="仿宋_GB2312" w:eastAsia="仿宋_GB2312" w:hAnsi="仿宋_GB2312" w:cs="仿宋_GB2312" w:hint="eastAsia"/>
          <w:color w:val="3B3B3B"/>
          <w:sz w:val="32"/>
          <w:szCs w:val="32"/>
          <w:shd w:val="clear" w:color="auto" w:fill="FFFFFF"/>
        </w:rPr>
        <w:t>专家评审情况开展综合审核，结合各地区和不同行业特点，提出拟认定名单并在</w:t>
      </w:r>
      <w:proofErr w:type="gramStart"/>
      <w:r>
        <w:rPr>
          <w:rFonts w:ascii="仿宋_GB2312" w:eastAsia="仿宋_GB2312" w:hAnsi="仿宋_GB2312" w:cs="仿宋_GB2312" w:hint="eastAsia"/>
          <w:color w:val="3B3B3B"/>
          <w:sz w:val="32"/>
          <w:szCs w:val="32"/>
          <w:shd w:val="clear" w:color="auto" w:fill="FFFFFF"/>
        </w:rPr>
        <w:t>省工信厅门户</w:t>
      </w:r>
      <w:proofErr w:type="gramEnd"/>
      <w:r>
        <w:rPr>
          <w:rFonts w:ascii="仿宋_GB2312" w:eastAsia="仿宋_GB2312" w:hAnsi="仿宋_GB2312" w:cs="仿宋_GB2312" w:hint="eastAsia"/>
          <w:color w:val="3B3B3B"/>
          <w:sz w:val="32"/>
          <w:szCs w:val="32"/>
          <w:shd w:val="clear" w:color="auto" w:fill="FFFFFF"/>
        </w:rPr>
        <w:t>网站公示5个工作日。公示合格后，</w:t>
      </w:r>
      <w:proofErr w:type="gramStart"/>
      <w:r>
        <w:rPr>
          <w:rFonts w:ascii="仿宋_GB2312" w:eastAsia="仿宋_GB2312" w:hAnsi="仿宋_GB2312" w:cs="仿宋_GB2312" w:hint="eastAsia"/>
          <w:color w:val="3B3B3B"/>
          <w:sz w:val="32"/>
          <w:szCs w:val="32"/>
          <w:shd w:val="clear" w:color="auto" w:fill="FFFFFF"/>
        </w:rPr>
        <w:t>省工信厅发文</w:t>
      </w:r>
      <w:proofErr w:type="gramEnd"/>
      <w:r>
        <w:rPr>
          <w:rFonts w:ascii="仿宋_GB2312" w:eastAsia="仿宋_GB2312" w:hAnsi="仿宋_GB2312" w:cs="仿宋_GB2312" w:hint="eastAsia"/>
          <w:color w:val="3B3B3B"/>
          <w:sz w:val="32"/>
          <w:szCs w:val="32"/>
          <w:shd w:val="clear" w:color="auto" w:fill="FFFFFF"/>
        </w:rPr>
        <w:t>公布并授牌。</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w:t>
      </w:r>
    </w:p>
    <w:p w:rsidR="008C7789" w:rsidRDefault="00000000">
      <w:pPr>
        <w:pStyle w:val="a3"/>
        <w:widowControl/>
        <w:shd w:val="clear" w:color="auto" w:fill="FFFFFF"/>
        <w:spacing w:beforeAutospacing="0" w:afterAutospacing="0" w:line="560" w:lineRule="exact"/>
        <w:jc w:val="center"/>
        <w:rPr>
          <w:rFonts w:ascii="黑体" w:eastAsia="黑体" w:hAnsi="黑体" w:cs="黑体"/>
          <w:color w:val="3B3B3B"/>
          <w:sz w:val="32"/>
          <w:szCs w:val="32"/>
        </w:rPr>
      </w:pPr>
      <w:r>
        <w:rPr>
          <w:rFonts w:ascii="黑体" w:eastAsia="黑体" w:hAnsi="黑体" w:cs="黑体" w:hint="eastAsia"/>
          <w:color w:val="3B3B3B"/>
          <w:sz w:val="32"/>
          <w:szCs w:val="32"/>
          <w:shd w:val="clear" w:color="auto" w:fill="FFFFFF"/>
        </w:rPr>
        <w:t>第四章 管理与推广</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    第十条</w:t>
      </w:r>
      <w:r>
        <w:rPr>
          <w:rFonts w:ascii="仿宋_GB2312" w:eastAsia="仿宋_GB2312" w:hAnsi="仿宋_GB2312" w:cs="仿宋_GB2312" w:hint="eastAsia"/>
          <w:color w:val="3B3B3B"/>
          <w:sz w:val="32"/>
          <w:szCs w:val="32"/>
          <w:shd w:val="clear" w:color="auto" w:fill="FFFFFF"/>
        </w:rPr>
        <w:t>  标杆企业认定工作每年组织一次。</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    第十一条  </w:t>
      </w:r>
      <w:proofErr w:type="gramStart"/>
      <w:r>
        <w:rPr>
          <w:rFonts w:ascii="仿宋_GB2312" w:eastAsia="仿宋_GB2312" w:hAnsi="仿宋_GB2312" w:cs="仿宋_GB2312" w:hint="eastAsia"/>
          <w:color w:val="3B3B3B"/>
          <w:sz w:val="32"/>
          <w:szCs w:val="32"/>
          <w:shd w:val="clear" w:color="auto" w:fill="FFFFFF"/>
        </w:rPr>
        <w:t>省工信厅对</w:t>
      </w:r>
      <w:proofErr w:type="gramEnd"/>
      <w:r>
        <w:rPr>
          <w:rFonts w:ascii="仿宋_GB2312" w:eastAsia="仿宋_GB2312" w:hAnsi="仿宋_GB2312" w:cs="仿宋_GB2312" w:hint="eastAsia"/>
          <w:color w:val="3B3B3B"/>
          <w:sz w:val="32"/>
          <w:szCs w:val="32"/>
          <w:shd w:val="clear" w:color="auto" w:fill="FFFFFF"/>
        </w:rPr>
        <w:t>标杆企业在技术创新、质量品牌建设等方面予以支持。</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    第十二条  </w:t>
      </w:r>
      <w:r>
        <w:rPr>
          <w:rFonts w:ascii="仿宋_GB2312" w:eastAsia="仿宋_GB2312" w:hAnsi="仿宋_GB2312" w:cs="仿宋_GB2312" w:hint="eastAsia"/>
          <w:color w:val="3B3B3B"/>
          <w:sz w:val="32"/>
          <w:szCs w:val="32"/>
          <w:shd w:val="clear" w:color="auto" w:fill="FFFFFF"/>
        </w:rPr>
        <w:t>鼓励工业企业在标杆企业开展现场对标活动。标杆企业要为开展标杆学习和对</w:t>
      </w:r>
      <w:proofErr w:type="gramStart"/>
      <w:r>
        <w:rPr>
          <w:rFonts w:ascii="仿宋_GB2312" w:eastAsia="仿宋_GB2312" w:hAnsi="仿宋_GB2312" w:cs="仿宋_GB2312" w:hint="eastAsia"/>
          <w:color w:val="3B3B3B"/>
          <w:sz w:val="32"/>
          <w:szCs w:val="32"/>
          <w:shd w:val="clear" w:color="auto" w:fill="FFFFFF"/>
        </w:rPr>
        <w:t>标行动</w:t>
      </w:r>
      <w:proofErr w:type="gramEnd"/>
      <w:r>
        <w:rPr>
          <w:rFonts w:ascii="仿宋_GB2312" w:eastAsia="仿宋_GB2312" w:hAnsi="仿宋_GB2312" w:cs="仿宋_GB2312" w:hint="eastAsia"/>
          <w:color w:val="3B3B3B"/>
          <w:sz w:val="32"/>
          <w:szCs w:val="32"/>
          <w:shd w:val="clear" w:color="auto" w:fill="FFFFFF"/>
        </w:rPr>
        <w:t>创造条件，提供支持。鼓励工业企业在学习标杆企业成功经验的基础上，开展知识产权培训、对标达标等工作，提升企业知识产权管理水平。</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    第十三条 </w:t>
      </w:r>
      <w:r>
        <w:rPr>
          <w:rFonts w:ascii="仿宋_GB2312" w:eastAsia="仿宋_GB2312" w:hAnsi="仿宋_GB2312" w:cs="仿宋_GB2312" w:hint="eastAsia"/>
          <w:color w:val="3B3B3B"/>
          <w:sz w:val="32"/>
          <w:szCs w:val="32"/>
          <w:shd w:val="clear" w:color="auto" w:fill="FFFFFF"/>
        </w:rPr>
        <w:t> </w:t>
      </w:r>
      <w:proofErr w:type="gramStart"/>
      <w:r>
        <w:rPr>
          <w:rFonts w:ascii="仿宋_GB2312" w:eastAsia="仿宋_GB2312" w:hAnsi="仿宋_GB2312" w:cs="仿宋_GB2312" w:hint="eastAsia"/>
          <w:color w:val="3B3B3B"/>
          <w:sz w:val="32"/>
          <w:szCs w:val="32"/>
          <w:shd w:val="clear" w:color="auto" w:fill="FFFFFF"/>
        </w:rPr>
        <w:t>省工信厅对</w:t>
      </w:r>
      <w:proofErr w:type="gramEnd"/>
      <w:r>
        <w:rPr>
          <w:rFonts w:ascii="仿宋_GB2312" w:eastAsia="仿宋_GB2312" w:hAnsi="仿宋_GB2312" w:cs="仿宋_GB2312" w:hint="eastAsia"/>
          <w:color w:val="3B3B3B"/>
          <w:sz w:val="32"/>
          <w:szCs w:val="32"/>
          <w:shd w:val="clear" w:color="auto" w:fill="FFFFFF"/>
        </w:rPr>
        <w:t>标杆企业实施动态管理，每三年进行一次复评。对复评不符合条件或发生质量、安全、环保、诚信等方面重大责任事故的，取消称号并公告。</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color w:val="3B3B3B"/>
          <w:sz w:val="32"/>
          <w:szCs w:val="32"/>
          <w:shd w:val="clear" w:color="auto" w:fill="FFFFFF"/>
        </w:rPr>
        <w:t>     </w:t>
      </w:r>
    </w:p>
    <w:p w:rsidR="008C7789" w:rsidRDefault="00000000">
      <w:pPr>
        <w:pStyle w:val="a3"/>
        <w:widowControl/>
        <w:shd w:val="clear" w:color="auto" w:fill="FFFFFF"/>
        <w:spacing w:beforeAutospacing="0" w:afterAutospacing="0" w:line="560" w:lineRule="exact"/>
        <w:jc w:val="center"/>
        <w:rPr>
          <w:rFonts w:ascii="黑体" w:eastAsia="黑体" w:hAnsi="黑体" w:cs="黑体"/>
          <w:color w:val="3B3B3B"/>
          <w:sz w:val="32"/>
          <w:szCs w:val="32"/>
        </w:rPr>
      </w:pPr>
      <w:r>
        <w:rPr>
          <w:rFonts w:ascii="黑体" w:eastAsia="黑体" w:hAnsi="黑体" w:cs="黑体" w:hint="eastAsia"/>
          <w:color w:val="3B3B3B"/>
          <w:sz w:val="32"/>
          <w:szCs w:val="32"/>
          <w:shd w:val="clear" w:color="auto" w:fill="FFFFFF"/>
        </w:rPr>
        <w:lastRenderedPageBreak/>
        <w:t>第五章 附 则</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    第十四条</w:t>
      </w:r>
      <w:r>
        <w:rPr>
          <w:rFonts w:ascii="仿宋_GB2312" w:eastAsia="仿宋_GB2312" w:hAnsi="仿宋_GB2312" w:cs="仿宋_GB2312" w:hint="eastAsia"/>
          <w:color w:val="3B3B3B"/>
          <w:sz w:val="32"/>
          <w:szCs w:val="32"/>
          <w:shd w:val="clear" w:color="auto" w:fill="FFFFFF"/>
        </w:rPr>
        <w:t> 本办法自发布之日起施行，有效期五年。</w:t>
      </w:r>
    </w:p>
    <w:p w:rsidR="008C7789" w:rsidRDefault="00000000">
      <w:pPr>
        <w:pStyle w:val="a3"/>
        <w:widowControl/>
        <w:shd w:val="clear" w:color="auto" w:fill="FFFFFF"/>
        <w:spacing w:beforeAutospacing="0" w:afterAutospacing="0" w:line="560" w:lineRule="exact"/>
        <w:rPr>
          <w:rFonts w:ascii="仿宋_GB2312" w:eastAsia="仿宋_GB2312" w:hAnsi="仿宋_GB2312" w:cs="仿宋_GB2312"/>
          <w:color w:val="3B3B3B"/>
          <w:sz w:val="32"/>
          <w:szCs w:val="32"/>
        </w:rPr>
      </w:pPr>
      <w:r>
        <w:rPr>
          <w:rFonts w:ascii="仿宋_GB2312" w:eastAsia="仿宋_GB2312" w:hAnsi="仿宋_GB2312" w:cs="仿宋_GB2312" w:hint="eastAsia"/>
          <w:b/>
          <w:color w:val="3B3B3B"/>
          <w:sz w:val="32"/>
          <w:szCs w:val="32"/>
          <w:shd w:val="clear" w:color="auto" w:fill="FFFFFF"/>
        </w:rPr>
        <w:t>     </w:t>
      </w:r>
    </w:p>
    <w:p w:rsidR="008C7789" w:rsidRDefault="008C7789">
      <w:pPr>
        <w:widowControl/>
        <w:jc w:val="left"/>
      </w:pPr>
    </w:p>
    <w:p w:rsidR="008C7789" w:rsidRDefault="008C7789">
      <w:pPr>
        <w:widowControl/>
        <w:jc w:val="left"/>
      </w:pPr>
    </w:p>
    <w:p w:rsidR="008C7789" w:rsidRDefault="008C7789">
      <w:pPr>
        <w:widowControl/>
        <w:jc w:val="left"/>
      </w:pPr>
    </w:p>
    <w:p w:rsidR="008C7789" w:rsidRDefault="00000000">
      <w:pPr>
        <w:pStyle w:val="a3"/>
        <w:widowControl/>
        <w:shd w:val="clear" w:color="auto" w:fill="FFFFFF"/>
        <w:spacing w:beforeAutospacing="0" w:afterAutospacing="0"/>
        <w:rPr>
          <w:rFonts w:ascii="黑体" w:eastAsia="黑体" w:hAnsi="黑体" w:cs="黑体"/>
          <w:color w:val="3B3B3B"/>
          <w:sz w:val="21"/>
          <w:szCs w:val="21"/>
        </w:rPr>
      </w:pPr>
      <w:r>
        <w:rPr>
          <w:rFonts w:ascii="黑体" w:eastAsia="黑体" w:hAnsi="黑体" w:cs="黑体" w:hint="eastAsia"/>
          <w:color w:val="3B3B3B"/>
          <w:sz w:val="21"/>
          <w:szCs w:val="21"/>
          <w:shd w:val="clear" w:color="auto" w:fill="FFFFFF"/>
        </w:rPr>
        <w:t>    附件</w:t>
      </w:r>
    </w:p>
    <w:p w:rsidR="008C7789" w:rsidRDefault="00000000">
      <w:pPr>
        <w:pStyle w:val="a3"/>
        <w:widowControl/>
        <w:shd w:val="clear" w:color="auto" w:fill="FFFFFF"/>
        <w:spacing w:beforeAutospacing="0" w:afterAutospacing="0"/>
        <w:rPr>
          <w:rFonts w:ascii="黑体" w:eastAsia="黑体" w:hAnsi="黑体" w:cs="黑体"/>
          <w:color w:val="3B3B3B"/>
          <w:sz w:val="32"/>
          <w:szCs w:val="32"/>
        </w:rPr>
      </w:pPr>
      <w:r>
        <w:rPr>
          <w:rFonts w:ascii="微软雅黑" w:eastAsia="微软雅黑" w:hAnsi="微软雅黑" w:cs="微软雅黑"/>
          <w:color w:val="3B3B3B"/>
          <w:sz w:val="21"/>
          <w:szCs w:val="21"/>
          <w:shd w:val="clear" w:color="auto" w:fill="FFFFFF"/>
        </w:rPr>
        <w:t>     </w:t>
      </w:r>
    </w:p>
    <w:p w:rsidR="008C7789" w:rsidRDefault="00000000">
      <w:pPr>
        <w:pStyle w:val="a3"/>
        <w:widowControl/>
        <w:shd w:val="clear" w:color="auto" w:fill="FFFFFF"/>
        <w:spacing w:beforeAutospacing="0" w:afterAutospacing="0"/>
        <w:jc w:val="center"/>
        <w:rPr>
          <w:rFonts w:ascii="黑体" w:eastAsia="黑体" w:hAnsi="黑体" w:cs="黑体"/>
          <w:color w:val="3B3B3B"/>
          <w:sz w:val="32"/>
          <w:szCs w:val="32"/>
        </w:rPr>
      </w:pPr>
      <w:r>
        <w:rPr>
          <w:rFonts w:ascii="黑体" w:eastAsia="黑体" w:hAnsi="黑体" w:cs="黑体" w:hint="eastAsia"/>
          <w:color w:val="3B3B3B"/>
          <w:sz w:val="32"/>
          <w:szCs w:val="32"/>
          <w:shd w:val="clear" w:color="auto" w:fill="FFFFFF"/>
        </w:rPr>
        <w:t>湖南省制造业知识产权运用标杆企业评价指标体系</w:t>
      </w:r>
    </w:p>
    <w:p w:rsidR="008C7789" w:rsidRDefault="00000000">
      <w:pPr>
        <w:pStyle w:val="a3"/>
        <w:widowControl/>
        <w:shd w:val="clear" w:color="auto" w:fill="FFFFFF"/>
        <w:spacing w:beforeAutospacing="0" w:afterAutospacing="0"/>
        <w:rPr>
          <w:rFonts w:ascii="微软雅黑" w:eastAsia="微软雅黑" w:hAnsi="微软雅黑" w:cs="微软雅黑"/>
          <w:color w:val="3B3B3B"/>
          <w:sz w:val="21"/>
          <w:szCs w:val="21"/>
        </w:rPr>
      </w:pPr>
      <w:r>
        <w:rPr>
          <w:rFonts w:ascii="微软雅黑" w:eastAsia="微软雅黑" w:hAnsi="微软雅黑" w:cs="微软雅黑"/>
          <w:color w:val="3B3B3B"/>
          <w:sz w:val="21"/>
          <w:szCs w:val="21"/>
          <w:shd w:val="clear" w:color="auto" w:fill="FFFFFF"/>
        </w:rPr>
        <w:t>     </w:t>
      </w:r>
    </w:p>
    <w:p w:rsidR="008C7789" w:rsidRDefault="00000000">
      <w:pPr>
        <w:pStyle w:val="a3"/>
        <w:widowControl/>
        <w:shd w:val="clear" w:color="auto" w:fill="FFFFFF"/>
        <w:spacing w:beforeAutospacing="0" w:afterAutospacing="0" w:line="500" w:lineRule="exact"/>
        <w:rPr>
          <w:rFonts w:ascii="仿宋_GB2312" w:eastAsia="仿宋_GB2312" w:hAnsi="仿宋_GB2312" w:cs="仿宋_GB2312"/>
          <w:color w:val="3B3B3B"/>
          <w:sz w:val="28"/>
          <w:szCs w:val="28"/>
        </w:rPr>
      </w:pPr>
      <w:r>
        <w:rPr>
          <w:rFonts w:ascii="微软雅黑" w:eastAsia="微软雅黑" w:hAnsi="微软雅黑" w:cs="微软雅黑"/>
          <w:color w:val="3B3B3B"/>
          <w:sz w:val="21"/>
          <w:szCs w:val="21"/>
          <w:shd w:val="clear" w:color="auto" w:fill="FFFFFF"/>
        </w:rPr>
        <w:t>   </w:t>
      </w:r>
      <w:r>
        <w:rPr>
          <w:rFonts w:ascii="仿宋_GB2312" w:eastAsia="仿宋_GB2312" w:hAnsi="仿宋_GB2312" w:cs="仿宋_GB2312" w:hint="eastAsia"/>
          <w:color w:val="3B3B3B"/>
          <w:sz w:val="28"/>
          <w:szCs w:val="28"/>
          <w:shd w:val="clear" w:color="auto" w:fill="FFFFFF"/>
        </w:rPr>
        <w:t> 制造业知识产权运用标杆企业评价主要从知识产权管理、知识产权创造、知识产权运用和知识产权保护四方面进行评价，并设有加分项。标杆企业评价得分需在80分以上，原则上对国家技术创新示范企业、国家专精特新小巨人企业、国家单项冠军企业、国家绿色创建示范企业予以优先支持。</w:t>
      </w:r>
    </w:p>
    <w:p w:rsidR="008C7789" w:rsidRDefault="00000000">
      <w:pPr>
        <w:pStyle w:val="a3"/>
        <w:widowControl/>
        <w:shd w:val="clear" w:color="auto" w:fill="FFFFFF"/>
        <w:spacing w:beforeAutospacing="0" w:afterAutospacing="0"/>
        <w:jc w:val="center"/>
        <w:rPr>
          <w:rFonts w:ascii="微软雅黑" w:eastAsia="微软雅黑" w:hAnsi="微软雅黑" w:cs="微软雅黑"/>
          <w:color w:val="3B3B3B"/>
          <w:sz w:val="21"/>
          <w:szCs w:val="21"/>
        </w:rPr>
      </w:pPr>
      <w:r>
        <w:rPr>
          <w:rFonts w:ascii="微软雅黑" w:eastAsia="微软雅黑" w:hAnsi="微软雅黑" w:cs="微软雅黑"/>
          <w:color w:val="3B3B3B"/>
          <w:sz w:val="21"/>
          <w:szCs w:val="21"/>
          <w:shd w:val="clear" w:color="auto" w:fill="FFFFFF"/>
        </w:rPr>
        <w:t>知识产权运用标杆企业评价指标</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50"/>
        <w:gridCol w:w="6313"/>
        <w:gridCol w:w="873"/>
      </w:tblGrid>
      <w:tr w:rsidR="008C7789">
        <w:trPr>
          <w:tblHeader/>
          <w:tblCellSpacing w:w="0" w:type="dxa"/>
          <w:jc w:val="center"/>
        </w:trPr>
        <w:tc>
          <w:tcPr>
            <w:tcW w:w="1150" w:type="dxa"/>
            <w:shd w:val="clear" w:color="auto" w:fill="auto"/>
            <w:noWrap/>
            <w:vAlign w:val="center"/>
          </w:tcPr>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内容</w:t>
            </w:r>
          </w:p>
        </w:tc>
        <w:tc>
          <w:tcPr>
            <w:tcW w:w="6313" w:type="dxa"/>
            <w:shd w:val="clear" w:color="auto" w:fill="auto"/>
            <w:noWrap/>
            <w:vAlign w:val="center"/>
          </w:tcPr>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要点</w:t>
            </w:r>
          </w:p>
        </w:tc>
        <w:tc>
          <w:tcPr>
            <w:tcW w:w="873" w:type="dxa"/>
            <w:shd w:val="clear" w:color="auto" w:fill="auto"/>
            <w:noWrap/>
            <w:vAlign w:val="center"/>
          </w:tcPr>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分值</w:t>
            </w:r>
          </w:p>
        </w:tc>
      </w:tr>
      <w:tr w:rsidR="008C7789">
        <w:trPr>
          <w:tblCellSpacing w:w="0" w:type="dxa"/>
          <w:jc w:val="center"/>
        </w:trPr>
        <w:tc>
          <w:tcPr>
            <w:tcW w:w="1150" w:type="dxa"/>
            <w:vMerge w:val="restart"/>
            <w:shd w:val="clear" w:color="auto" w:fill="auto"/>
            <w:vAlign w:val="center"/>
          </w:tcPr>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知识产权</w:t>
            </w:r>
          </w:p>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管理</w:t>
            </w: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企业高层重视知识产权，制定并实施企业知识产权发展战略情况。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企业知识产权工作机构和管理制度建设情况。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企业知识产权管理投入情况，包括人员配备、知识产权经费情况。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r>
      <w:tr w:rsidR="008C7789">
        <w:trPr>
          <w:tblCellSpacing w:w="0" w:type="dxa"/>
          <w:jc w:val="center"/>
        </w:trPr>
        <w:tc>
          <w:tcPr>
            <w:tcW w:w="1150" w:type="dxa"/>
            <w:vMerge w:val="restart"/>
            <w:shd w:val="clear" w:color="auto" w:fill="auto"/>
            <w:vAlign w:val="center"/>
          </w:tcPr>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知识产权</w:t>
            </w:r>
          </w:p>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创造</w:t>
            </w: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企业知识产权拥有情况，包括企业通过自主研发创新获得的专利、商标、著作权、商业秘密等各类知识产权数量。</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近三年专利申请情况。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近三年专利授权情况。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r>
      <w:tr w:rsidR="008C7789">
        <w:trPr>
          <w:tblCellSpacing w:w="0" w:type="dxa"/>
          <w:jc w:val="center"/>
        </w:trPr>
        <w:tc>
          <w:tcPr>
            <w:tcW w:w="1150" w:type="dxa"/>
            <w:vMerge w:val="restart"/>
            <w:shd w:val="clear" w:color="auto" w:fill="auto"/>
            <w:vAlign w:val="center"/>
          </w:tcPr>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知识产权</w:t>
            </w:r>
          </w:p>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lastRenderedPageBreak/>
              <w:t>运用</w:t>
            </w: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企业知识产权布局及科研立项或技术引进中专利信息利用或专利导</w:t>
            </w:r>
            <w:r>
              <w:rPr>
                <w:rFonts w:ascii="仿宋_GB2312" w:eastAsia="仿宋_GB2312" w:hAnsi="仿宋_GB2312" w:cs="仿宋_GB2312" w:hint="eastAsia"/>
                <w:sz w:val="21"/>
                <w:szCs w:val="21"/>
              </w:rPr>
              <w:lastRenderedPageBreak/>
              <w:t>航情况。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10</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专利技术实施及产业化情况。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企业知识产权协同运用情况，包括企业通过产学研合作研发创造知识产权、转化推广技术创新成果，开展知识产权交叉许可等情况。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知识产权商业运营情况，包括企业将知识产权质押贷款、投资入股、并购等商业化运作情况。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主导或参与国家、行业、地方标准制定情况。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品牌建设情况。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7</w:t>
            </w:r>
          </w:p>
        </w:tc>
      </w:tr>
      <w:tr w:rsidR="008C7789">
        <w:trPr>
          <w:tblCellSpacing w:w="0" w:type="dxa"/>
          <w:jc w:val="center"/>
        </w:trPr>
        <w:tc>
          <w:tcPr>
            <w:tcW w:w="1150" w:type="dxa"/>
            <w:vMerge w:val="restart"/>
            <w:shd w:val="clear" w:color="auto" w:fill="auto"/>
            <w:vAlign w:val="center"/>
          </w:tcPr>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知识产权</w:t>
            </w:r>
          </w:p>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保护</w:t>
            </w: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知识产权预警机制情况。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r>
      <w:tr w:rsidR="008C7789">
        <w:trPr>
          <w:tblCellSpacing w:w="0" w:type="dxa"/>
          <w:jc w:val="center"/>
        </w:trPr>
        <w:tc>
          <w:tcPr>
            <w:tcW w:w="1150" w:type="dxa"/>
            <w:vMerge/>
            <w:shd w:val="clear" w:color="auto" w:fill="auto"/>
            <w:vAlign w:val="center"/>
          </w:tcPr>
          <w:p w:rsidR="008C7789" w:rsidRDefault="008C7789">
            <w:pPr>
              <w:rPr>
                <w:rFonts w:ascii="微软雅黑" w:eastAsia="微软雅黑" w:hAnsi="微软雅黑" w:cs="微软雅黑"/>
                <w:szCs w:val="21"/>
              </w:rPr>
            </w:pP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知识产权纠纷维权应对情况。</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r>
      <w:tr w:rsidR="008C7789">
        <w:trPr>
          <w:tblCellSpacing w:w="0" w:type="dxa"/>
          <w:jc w:val="center"/>
        </w:trPr>
        <w:tc>
          <w:tcPr>
            <w:tcW w:w="1150" w:type="dxa"/>
            <w:shd w:val="clear" w:color="auto" w:fill="auto"/>
            <w:vAlign w:val="center"/>
          </w:tcPr>
          <w:p w:rsidR="008C7789" w:rsidRDefault="00000000">
            <w:pPr>
              <w:pStyle w:val="a3"/>
              <w:widowControl/>
              <w:spacing w:beforeAutospacing="0" w:afterAutospacing="0"/>
              <w:jc w:val="center"/>
              <w:rPr>
                <w:rFonts w:ascii="微软雅黑" w:eastAsia="微软雅黑" w:hAnsi="微软雅黑" w:cs="微软雅黑"/>
                <w:sz w:val="21"/>
                <w:szCs w:val="21"/>
              </w:rPr>
            </w:pPr>
            <w:r>
              <w:rPr>
                <w:rFonts w:ascii="微软雅黑" w:eastAsia="微软雅黑" w:hAnsi="微软雅黑" w:cs="微软雅黑"/>
                <w:sz w:val="21"/>
                <w:szCs w:val="21"/>
              </w:rPr>
              <w:t>加分项</w:t>
            </w:r>
          </w:p>
        </w:tc>
        <w:tc>
          <w:tcPr>
            <w:tcW w:w="6313" w:type="dxa"/>
            <w:shd w:val="clear" w:color="auto" w:fill="auto"/>
            <w:vAlign w:val="center"/>
          </w:tcPr>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1、获</w:t>
            </w:r>
            <w:proofErr w:type="gramStart"/>
            <w:r>
              <w:rPr>
                <w:rFonts w:ascii="仿宋_GB2312" w:eastAsia="仿宋_GB2312" w:hAnsi="仿宋_GB2312" w:cs="仿宋_GB2312" w:hint="eastAsia"/>
                <w:sz w:val="21"/>
                <w:szCs w:val="21"/>
              </w:rPr>
              <w:t>评国家</w:t>
            </w:r>
            <w:proofErr w:type="gramEnd"/>
            <w:r>
              <w:rPr>
                <w:rFonts w:ascii="仿宋_GB2312" w:eastAsia="仿宋_GB2312" w:hAnsi="仿宋_GB2312" w:cs="仿宋_GB2312" w:hint="eastAsia"/>
                <w:sz w:val="21"/>
                <w:szCs w:val="21"/>
              </w:rPr>
              <w:t>或省级知识产权示范或优势企业。</w:t>
            </w:r>
          </w:p>
          <w:p w:rsidR="008C7789" w:rsidRDefault="00000000">
            <w:pPr>
              <w:pStyle w:val="a3"/>
              <w:widowControl/>
              <w:spacing w:beforeAutospacing="0" w:afterAutospacing="0"/>
              <w:rPr>
                <w:rFonts w:ascii="仿宋_GB2312" w:eastAsia="仿宋_GB2312" w:hAnsi="仿宋_GB2312" w:cs="仿宋_GB2312"/>
                <w:sz w:val="21"/>
                <w:szCs w:val="21"/>
              </w:rPr>
            </w:pPr>
            <w:r>
              <w:rPr>
                <w:rFonts w:ascii="仿宋_GB2312" w:eastAsia="仿宋_GB2312" w:hAnsi="仿宋_GB2312" w:cs="仿宋_GB2312" w:hint="eastAsia"/>
                <w:sz w:val="21"/>
                <w:szCs w:val="21"/>
              </w:rPr>
              <w:t>2、获得的国家级和省级知识产权工作奖励。</w:t>
            </w:r>
          </w:p>
        </w:tc>
        <w:tc>
          <w:tcPr>
            <w:tcW w:w="873" w:type="dxa"/>
            <w:shd w:val="clear" w:color="auto" w:fill="auto"/>
            <w:vAlign w:val="center"/>
          </w:tcPr>
          <w:p w:rsidR="008C7789" w:rsidRDefault="00000000">
            <w:pPr>
              <w:pStyle w:val="a3"/>
              <w:widowControl/>
              <w:spacing w:beforeAutospacing="0" w:afterAutospacing="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r>
    </w:tbl>
    <w:p w:rsidR="008C7789" w:rsidRDefault="008C7789">
      <w:pPr>
        <w:widowControl/>
        <w:jc w:val="left"/>
      </w:pPr>
    </w:p>
    <w:p w:rsidR="008C7789" w:rsidRDefault="008C7789"/>
    <w:sectPr w:rsidR="008C77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212" w:rsidRDefault="00846212" w:rsidP="00ED24F2">
      <w:r>
        <w:separator/>
      </w:r>
    </w:p>
  </w:endnote>
  <w:endnote w:type="continuationSeparator" w:id="0">
    <w:p w:rsidR="00846212" w:rsidRDefault="00846212" w:rsidP="00ED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212" w:rsidRDefault="00846212" w:rsidP="00ED24F2">
      <w:r>
        <w:separator/>
      </w:r>
    </w:p>
  </w:footnote>
  <w:footnote w:type="continuationSeparator" w:id="0">
    <w:p w:rsidR="00846212" w:rsidRDefault="00846212" w:rsidP="00ED2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1947CF"/>
    <w:rsid w:val="FB9E6B50"/>
    <w:rsid w:val="00846212"/>
    <w:rsid w:val="008C7789"/>
    <w:rsid w:val="00ED24F2"/>
    <w:rsid w:val="1FFFF71C"/>
    <w:rsid w:val="4A1947CF"/>
    <w:rsid w:val="7FDFE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5291140-230E-45BA-B596-DA146C0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ED24F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D24F2"/>
    <w:rPr>
      <w:rFonts w:asciiTheme="minorHAnsi" w:eastAsiaTheme="minorEastAsia" w:hAnsiTheme="minorHAnsi" w:cstheme="minorBidi"/>
      <w:kern w:val="2"/>
      <w:sz w:val="18"/>
      <w:szCs w:val="18"/>
    </w:rPr>
  </w:style>
  <w:style w:type="paragraph" w:styleId="a6">
    <w:name w:val="footer"/>
    <w:basedOn w:val="a"/>
    <w:link w:val="a7"/>
    <w:rsid w:val="00ED24F2"/>
    <w:pPr>
      <w:tabs>
        <w:tab w:val="center" w:pos="4153"/>
        <w:tab w:val="right" w:pos="8306"/>
      </w:tabs>
      <w:snapToGrid w:val="0"/>
      <w:jc w:val="left"/>
    </w:pPr>
    <w:rPr>
      <w:sz w:val="18"/>
      <w:szCs w:val="18"/>
    </w:rPr>
  </w:style>
  <w:style w:type="character" w:customStyle="1" w:styleId="a7">
    <w:name w:val="页脚 字符"/>
    <w:basedOn w:val="a0"/>
    <w:link w:val="a6"/>
    <w:rsid w:val="00ED24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lj</cp:lastModifiedBy>
  <cp:revision>2</cp:revision>
  <dcterms:created xsi:type="dcterms:W3CDTF">2022-12-29T06:46:00Z</dcterms:created>
  <dcterms:modified xsi:type="dcterms:W3CDTF">2022-12-29T06:46:00Z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