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ind w:firstLine="717" w:firstLineChars="145"/>
        <w:rPr>
          <w:rFonts w:ascii="方正小标宋简体" w:eastAsia="方正小标宋简体"/>
          <w:w w:val="55"/>
          <w:sz w:val="90"/>
          <w:szCs w:val="90"/>
        </w:rPr>
      </w:pPr>
      <w:bookmarkStart w:id="0" w:name="_GoBack"/>
      <w:bookmarkEnd w:id="0"/>
    </w:p>
    <w:p>
      <w:pPr>
        <w:spacing w:line="1800" w:lineRule="exact"/>
        <w:jc w:val="center"/>
        <w:rPr>
          <w:rFonts w:ascii="方正小标宋简体" w:eastAsia="方正小标宋简体"/>
          <w:color w:val="FF0000"/>
          <w:spacing w:val="-20"/>
          <w:w w:val="55"/>
          <w:sz w:val="120"/>
          <w:szCs w:val="120"/>
        </w:rPr>
      </w:pPr>
      <w:r>
        <w:rPr>
          <w:rFonts w:hint="eastAsia" w:ascii="方正小标宋简体" w:eastAsia="方正小标宋简体"/>
          <w:color w:val="FF0000"/>
          <w:spacing w:val="-20"/>
          <w:w w:val="55"/>
          <w:sz w:val="120"/>
          <w:szCs w:val="120"/>
        </w:rPr>
        <w:t>湖南省经济和信息化委员会文件</w:t>
      </w:r>
    </w:p>
    <w:p>
      <w:pPr>
        <w:spacing w:line="600" w:lineRule="exact"/>
        <w:jc w:val="center"/>
        <w:rPr>
          <w:rFonts w:hAnsi="仿宋" w:eastAsia="仿宋"/>
          <w:color w:val="FF0000"/>
          <w:sz w:val="32"/>
          <w:szCs w:val="32"/>
        </w:rPr>
      </w:pPr>
    </w:p>
    <w:p>
      <w:pPr>
        <w:spacing w:line="600" w:lineRule="exact"/>
        <w:ind w:firstLine="320" w:firstLineChars="100"/>
        <w:jc w:val="center"/>
        <w:rPr>
          <w:rFonts w:hAnsi="仿宋" w:eastAsia="仿宋"/>
          <w:sz w:val="32"/>
          <w:szCs w:val="32"/>
        </w:rPr>
      </w:pPr>
      <w:r>
        <w:rPr>
          <w:rFonts w:hint="eastAsia" w:hAnsi="仿宋" w:eastAsia="仿宋"/>
          <w:sz w:val="32"/>
          <w:szCs w:val="32"/>
        </w:rPr>
        <w:t>湘经信原材料〔2016〕557号</w:t>
      </w:r>
    </w:p>
    <w:p>
      <w:pPr>
        <w:spacing w:line="600" w:lineRule="exact"/>
        <w:ind w:firstLine="760" w:firstLineChars="100"/>
        <w:rPr>
          <w:rFonts w:ascii="方正小标宋简体" w:eastAsia="方正小标宋简体"/>
          <w:w w:val="90"/>
          <w:sz w:val="76"/>
          <w:szCs w:val="76"/>
        </w:rPr>
      </w:pPr>
      <w:r>
        <w:rPr>
          <w:rFonts w:ascii="方正小标宋简体" w:eastAsia="方正小标宋简体"/>
          <w:sz w:val="76"/>
          <w:szCs w:val="76"/>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0</wp:posOffset>
                </wp:positionV>
                <wp:extent cx="5667375" cy="0"/>
                <wp:effectExtent l="0" t="0" r="0" b="0"/>
                <wp:wrapNone/>
                <wp:docPr id="1" name="直线 4"/>
                <wp:cNvGraphicFramePr/>
                <a:graphic xmlns:a="http://schemas.openxmlformats.org/drawingml/2006/main">
                  <a:graphicData uri="http://schemas.microsoft.com/office/word/2010/wordprocessingShape">
                    <wps:wsp>
                      <wps:cNvSpPr/>
                      <wps:spPr>
                        <a:xfrm>
                          <a:off x="0" y="0"/>
                          <a:ext cx="566737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5.25pt;margin-top:0pt;height:0pt;width:446.25pt;z-index:251660288;mso-width-relative:page;mso-height-relative:page;" filled="f" stroked="t" coordsize="21600,21600" o:gfxdata="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AnntW0QAAAAQBAAAPAAAAAAAAAAEAIAAAACIAAABkcnMv&#10;ZG93bnJldi54bWxQSwECFAAUAAAACACHTuJASqIr/dEBAACOAwAADgAAAAAAAAABACAAAAAgAQAA&#10;ZHJzL2Uyb0RvYy54bWxQSwUGAAAAAAYABgBZAQAAYwUAAAAA&#10;">
                <v:fill on="f" focussize="0,0"/>
                <v:stroke weight="2pt" color="#FF0000" joinstyle="round"/>
                <v:imagedata o:title=""/>
                <o:lock v:ext="edit" aspectratio="f"/>
              </v:line>
            </w:pict>
          </mc:Fallback>
        </mc:AlternateContent>
      </w:r>
    </w:p>
    <w:p>
      <w:pPr>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关于印发《湖南省黄金行业“十三五”</w:t>
      </w:r>
    </w:p>
    <w:p>
      <w:pPr>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发展规划》的通知</w:t>
      </w:r>
    </w:p>
    <w:p>
      <w:pPr>
        <w:spacing w:line="600" w:lineRule="exact"/>
        <w:jc w:val="center"/>
        <w:rPr>
          <w:rFonts w:ascii="仿宋" w:hAnsi="仿宋" w:eastAsia="仿宋"/>
          <w:sz w:val="32"/>
          <w:szCs w:val="32"/>
        </w:rPr>
      </w:pPr>
    </w:p>
    <w:p>
      <w:pPr>
        <w:spacing w:line="600" w:lineRule="exact"/>
        <w:jc w:val="left"/>
        <w:rPr>
          <w:rFonts w:ascii="仿宋" w:hAnsi="仿宋" w:eastAsia="仿宋"/>
          <w:sz w:val="32"/>
          <w:szCs w:val="32"/>
        </w:rPr>
      </w:pPr>
      <w:r>
        <w:rPr>
          <w:rFonts w:hint="eastAsia" w:ascii="仿宋" w:hAnsi="仿宋" w:eastAsia="仿宋"/>
          <w:sz w:val="32"/>
          <w:szCs w:val="32"/>
        </w:rPr>
        <w:t>各市州经信委：</w:t>
      </w:r>
    </w:p>
    <w:p>
      <w:pPr>
        <w:spacing w:line="600" w:lineRule="exact"/>
        <w:ind w:firstLine="630"/>
        <w:jc w:val="left"/>
        <w:rPr>
          <w:rFonts w:ascii="仿宋" w:hAnsi="仿宋" w:eastAsia="仿宋"/>
          <w:sz w:val="32"/>
          <w:szCs w:val="32"/>
        </w:rPr>
      </w:pPr>
      <w:r>
        <w:rPr>
          <w:rFonts w:hint="eastAsia" w:ascii="仿宋" w:hAnsi="仿宋" w:eastAsia="仿宋"/>
          <w:sz w:val="32"/>
          <w:szCs w:val="32"/>
        </w:rPr>
        <w:t>为引导黄金行业健康发展，促进黄金资源有序开发，加块黄金产业转型升级，我委组织编制了《湖南省黄金行业“十三五”发展规划》，现印发给你们，请结合实际，认真贯彻实施。</w:t>
      </w:r>
    </w:p>
    <w:p>
      <w:pPr>
        <w:spacing w:line="600" w:lineRule="exact"/>
        <w:ind w:firstLine="630"/>
        <w:jc w:val="left"/>
        <w:rPr>
          <w:rFonts w:ascii="仿宋" w:hAnsi="仿宋" w:eastAsia="仿宋"/>
          <w:sz w:val="32"/>
          <w:szCs w:val="32"/>
        </w:rPr>
      </w:pPr>
    </w:p>
    <w:p>
      <w:pPr>
        <w:spacing w:line="600" w:lineRule="exact"/>
        <w:ind w:firstLine="630"/>
        <w:jc w:val="left"/>
        <w:rPr>
          <w:rFonts w:ascii="仿宋" w:hAnsi="仿宋" w:eastAsia="仿宋"/>
          <w:sz w:val="32"/>
          <w:szCs w:val="32"/>
        </w:rPr>
      </w:pPr>
    </w:p>
    <w:p>
      <w:pPr>
        <w:spacing w:line="600" w:lineRule="exact"/>
        <w:ind w:firstLine="630"/>
        <w:jc w:val="left"/>
        <w:rPr>
          <w:rFonts w:eastAsia="仿宋"/>
          <w:sz w:val="32"/>
          <w:szCs w:val="32"/>
        </w:rPr>
      </w:pPr>
      <w:r>
        <w:rPr>
          <w:rFonts w:eastAsia="仿宋"/>
          <w:sz w:val="32"/>
          <w:szCs w:val="32"/>
        </w:rPr>
        <w:t xml:space="preserve">   </w:t>
      </w:r>
      <w:r>
        <w:rPr>
          <w:rFonts w:hint="eastAsia" w:eastAsia="仿宋"/>
          <w:sz w:val="32"/>
          <w:szCs w:val="32"/>
        </w:rPr>
        <w:t xml:space="preserve">                        </w:t>
      </w:r>
      <w:r>
        <w:rPr>
          <w:rFonts w:hAnsi="仿宋" w:eastAsia="仿宋"/>
          <w:sz w:val="32"/>
          <w:szCs w:val="32"/>
        </w:rPr>
        <w:t>湖南省经济和信息化委员会</w:t>
      </w:r>
    </w:p>
    <w:p>
      <w:pPr>
        <w:spacing w:line="600" w:lineRule="exact"/>
        <w:ind w:firstLine="630"/>
        <w:jc w:val="left"/>
        <w:rPr>
          <w:rFonts w:eastAsia="仿宋"/>
          <w:sz w:val="32"/>
          <w:szCs w:val="32"/>
        </w:rPr>
      </w:pPr>
      <w:r>
        <w:rPr>
          <w:rFonts w:eastAsia="方正小标宋简体"/>
          <w:sz w:val="44"/>
          <w:szCs w:val="44"/>
        </w:rPr>
        <w:t xml:space="preserve">                       </w:t>
      </w:r>
      <w:r>
        <w:rPr>
          <w:rFonts w:eastAsia="仿宋"/>
          <w:sz w:val="32"/>
          <w:szCs w:val="32"/>
        </w:rPr>
        <w:t>2016</w:t>
      </w:r>
      <w:r>
        <w:rPr>
          <w:rFonts w:hAnsi="仿宋" w:eastAsia="仿宋"/>
          <w:sz w:val="32"/>
          <w:szCs w:val="32"/>
        </w:rPr>
        <w:t>年</w:t>
      </w:r>
      <w:r>
        <w:rPr>
          <w:rFonts w:eastAsia="仿宋"/>
          <w:sz w:val="32"/>
          <w:szCs w:val="32"/>
        </w:rPr>
        <w:t>10</w:t>
      </w:r>
      <w:r>
        <w:rPr>
          <w:rFonts w:hAnsi="仿宋" w:eastAsia="仿宋"/>
          <w:sz w:val="32"/>
          <w:szCs w:val="32"/>
        </w:rPr>
        <w:t>月</w:t>
      </w:r>
      <w:r>
        <w:rPr>
          <w:rFonts w:hint="eastAsia" w:hAnsi="仿宋" w:eastAsia="仿宋"/>
          <w:sz w:val="32"/>
          <w:szCs w:val="32"/>
        </w:rPr>
        <w:t>31</w:t>
      </w:r>
      <w:r>
        <w:rPr>
          <w:rFonts w:hAnsi="仿宋" w:eastAsia="仿宋"/>
          <w:sz w:val="32"/>
          <w:szCs w:val="32"/>
        </w:rPr>
        <w:t>日</w:t>
      </w:r>
    </w:p>
    <w:p>
      <w:pPr>
        <w:spacing w:line="600" w:lineRule="exact"/>
        <w:jc w:val="center"/>
        <w:rPr>
          <w:rFonts w:ascii="方正小标宋简体" w:eastAsia="方正小标宋简体"/>
          <w:sz w:val="44"/>
          <w:szCs w:val="44"/>
        </w:rPr>
      </w:pPr>
    </w:p>
    <w:p>
      <w:pPr>
        <w:pBdr>
          <w:top w:val="single" w:color="auto" w:sz="4" w:space="1"/>
          <w:bottom w:val="single" w:color="auto" w:sz="4" w:space="1"/>
        </w:pBdr>
        <w:spacing w:line="600" w:lineRule="exact"/>
        <w:rPr>
          <w:rFonts w:eastAsia="仿宋"/>
          <w:sz w:val="28"/>
          <w:szCs w:val="28"/>
        </w:rPr>
      </w:pPr>
      <w:r>
        <w:rPr>
          <w:rFonts w:eastAsia="仿宋"/>
          <w:sz w:val="28"/>
          <w:szCs w:val="28"/>
        </w:rPr>
        <w:t xml:space="preserve"> </w:t>
      </w:r>
      <w:r>
        <w:rPr>
          <w:rFonts w:hAnsi="仿宋" w:eastAsia="仿宋"/>
          <w:sz w:val="28"/>
          <w:szCs w:val="28"/>
        </w:rPr>
        <w:t>湖南省经济和信息化委员会办公室</w:t>
      </w:r>
      <w:r>
        <w:rPr>
          <w:rFonts w:hint="eastAsia" w:hAnsi="仿宋" w:eastAsia="仿宋"/>
          <w:sz w:val="28"/>
          <w:szCs w:val="28"/>
        </w:rPr>
        <w:t xml:space="preserve">         </w:t>
      </w:r>
      <w:r>
        <w:rPr>
          <w:rFonts w:eastAsia="仿宋"/>
          <w:sz w:val="28"/>
          <w:szCs w:val="28"/>
        </w:rPr>
        <w:t xml:space="preserve"> 2016</w:t>
      </w:r>
      <w:r>
        <w:rPr>
          <w:rFonts w:hAnsi="仿宋" w:eastAsia="仿宋"/>
          <w:sz w:val="28"/>
          <w:szCs w:val="28"/>
        </w:rPr>
        <w:t>年</w:t>
      </w:r>
      <w:r>
        <w:rPr>
          <w:rFonts w:eastAsia="仿宋"/>
          <w:sz w:val="28"/>
          <w:szCs w:val="28"/>
        </w:rPr>
        <w:t>10</w:t>
      </w:r>
      <w:r>
        <w:rPr>
          <w:rFonts w:hAnsi="仿宋" w:eastAsia="仿宋"/>
          <w:sz w:val="28"/>
          <w:szCs w:val="28"/>
        </w:rPr>
        <w:t>月</w:t>
      </w:r>
      <w:r>
        <w:rPr>
          <w:rFonts w:hint="eastAsia" w:eastAsia="仿宋"/>
          <w:sz w:val="28"/>
          <w:szCs w:val="28"/>
        </w:rPr>
        <w:t>31</w:t>
      </w:r>
      <w:r>
        <w:rPr>
          <w:rFonts w:hAnsi="仿宋" w:eastAsia="仿宋"/>
          <w:sz w:val="28"/>
          <w:szCs w:val="28"/>
        </w:rPr>
        <w:t>日印发</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湖南省黄金行业“十三五”发展规划</w:t>
      </w:r>
    </w:p>
    <w:p>
      <w:pPr>
        <w:spacing w:line="600" w:lineRule="exact"/>
        <w:jc w:val="center"/>
        <w:rPr>
          <w:rFonts w:eastAsia="方正仿宋简体"/>
          <w:sz w:val="36"/>
          <w:szCs w:val="36"/>
        </w:rPr>
      </w:pPr>
      <w:r>
        <w:rPr>
          <w:rFonts w:hint="eastAsia" w:eastAsia="方正仿宋简体"/>
          <w:sz w:val="36"/>
          <w:szCs w:val="36"/>
        </w:rPr>
        <w:t xml:space="preserve">                          </w:t>
      </w:r>
    </w:p>
    <w:p>
      <w:pPr>
        <w:pStyle w:val="13"/>
        <w:spacing w:line="600" w:lineRule="exact"/>
        <w:ind w:firstLine="640" w:firstLineChars="200"/>
        <w:rPr>
          <w:rFonts w:ascii="黑体" w:hAnsi="黑体" w:eastAsia="黑体"/>
          <w:kern w:val="2"/>
          <w:sz w:val="32"/>
          <w:szCs w:val="32"/>
        </w:rPr>
      </w:pPr>
      <w:r>
        <w:rPr>
          <w:rFonts w:hint="eastAsia" w:ascii="黑体" w:hAnsi="黑体" w:eastAsia="黑体"/>
          <w:kern w:val="2"/>
          <w:sz w:val="32"/>
          <w:szCs w:val="32"/>
        </w:rPr>
        <w:t>一、湖南黄金行业发展现状</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（一）基本概况</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黄金产业是我省积极培育发展的产业之一，经过多年的建设发展，已形成地质勘查、矿山开采、选矿、冶炼、黄金精炼及深加工，矿山设计和矿山设备制造等较为完整的产业体系，行业内大中型金矿技术装备水平和黄金开采、选矿、冶炼关键核心技术以及经营管理达到国内同类企业先进水平。截至2015年，全省有规模以上黄金矿山60家（不包括伴生金矿山企业），大型黄金冶炼企业1家。黄金矿山主要分布在怀化、岳阳、衡阳、邵阳、株洲等地区。全省进入全国十大黄金企业1家，进入全国黄金销售收入十大企业1家，进入全国黄金经济效益十佳企业1家；行业内年产金超10吨的企业1家，超1吨的企业4家；有上市公司1家；年处理矿石能力500万吨以上，黄金年生产能力30吨以上；行业从业人员3万余人。</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（二）“十二五”期间全省黄金行业发展回顾</w:t>
      </w:r>
    </w:p>
    <w:p>
      <w:pPr>
        <w:pStyle w:val="13"/>
        <w:widowControl w:val="0"/>
        <w:spacing w:line="600" w:lineRule="exact"/>
        <w:ind w:firstLine="643" w:firstLineChars="200"/>
        <w:rPr>
          <w:rFonts w:ascii="仿宋" w:hAnsi="仿宋" w:eastAsia="仿宋"/>
          <w:b/>
          <w:kern w:val="2"/>
          <w:sz w:val="32"/>
          <w:szCs w:val="32"/>
        </w:rPr>
      </w:pPr>
      <w:r>
        <w:rPr>
          <w:rFonts w:hint="eastAsia" w:ascii="仿宋" w:hAnsi="仿宋" w:eastAsia="仿宋"/>
          <w:b/>
          <w:kern w:val="2"/>
          <w:sz w:val="32"/>
          <w:szCs w:val="32"/>
        </w:rPr>
        <w:t>1、主要指标完成情况</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2015年，湖南黄金总产量29.898吨，全国排名第五。“十二五”期间全省累计实现黄金总产量112.161吨，完成规划目标117%，其中矿产金96.438吨，有色冶炼副产金15.723吨，较“十一五”分别增长72.6%和186.6%；五年累计实现产值413.2亿元，利润23.2亿元，新增黄金资源储量212吨，其中333及以上备案资源储量132.2吨。</w:t>
      </w:r>
    </w:p>
    <w:p>
      <w:pPr>
        <w:pStyle w:val="13"/>
        <w:widowControl w:val="0"/>
        <w:spacing w:line="600" w:lineRule="exact"/>
        <w:ind w:firstLine="643" w:firstLineChars="200"/>
        <w:rPr>
          <w:rFonts w:ascii="仿宋" w:hAnsi="仿宋" w:eastAsia="仿宋"/>
          <w:b/>
          <w:kern w:val="2"/>
          <w:sz w:val="32"/>
          <w:szCs w:val="32"/>
        </w:rPr>
      </w:pPr>
      <w:r>
        <w:rPr>
          <w:rFonts w:hint="eastAsia" w:ascii="仿宋" w:hAnsi="仿宋" w:eastAsia="仿宋"/>
          <w:b/>
          <w:kern w:val="2"/>
          <w:sz w:val="32"/>
          <w:szCs w:val="32"/>
        </w:rPr>
        <w:t>2、主要发展成就</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“十二五”期间，行业经济运行总体平稳，发展质量稳定向好。</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一是行业运行总体平稳。“十二五”期间，行业克服黄金价格大幅下降，生产成本持续增加、资源竞争日趋激烈等诸多不利因素，总体实现平稳较快发展目标。</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——黄金产量增长较快。五年累计生产黄金112.161吨，较“十一五”增长82.9%，黄金产量年均增幅16.8%，高于全国黄金行业黄金年产量平均增幅12.3个百分点。</w:t>
      </w:r>
    </w:p>
    <w:p>
      <w:pPr>
        <w:pStyle w:val="13"/>
        <w:widowControl w:val="0"/>
        <w:spacing w:line="600" w:lineRule="exact"/>
        <w:ind w:firstLine="640" w:firstLineChars="200"/>
        <w:rPr>
          <w:rFonts w:ascii="仿宋" w:hAnsi="仿宋" w:eastAsia="仿宋"/>
          <w:kern w:val="2"/>
          <w:sz w:val="32"/>
          <w:szCs w:val="32"/>
        </w:rPr>
      </w:pPr>
      <w:r>
        <w:rPr>
          <w:rFonts w:hint="eastAsia" w:eastAsia="仿宋"/>
          <w:kern w:val="2"/>
          <w:sz w:val="32"/>
          <w:szCs w:val="32"/>
        </w:rPr>
        <w:t>¬</w:t>
      </w:r>
      <w:r>
        <w:rPr>
          <w:rFonts w:hint="eastAsia" w:ascii="仿宋" w:hAnsi="仿宋" w:eastAsia="仿宋"/>
          <w:kern w:val="2"/>
          <w:sz w:val="32"/>
          <w:szCs w:val="32"/>
        </w:rPr>
        <w:t>——综合利润大幅度提高。累计实现利润23.19亿元，较“十一五”增长110%。2014年至2015年，受主要产品价格大幅度下降影响，行业利润增幅回落，但仍维持在合理区间，增幅高于全国黄金行业及省内其它矿业行业利润平均水平。</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黄金企业加快发展。一批资源保障水平高、创新能力强、管理水平先进的黄金企业快速成长，成为主导和引领我省黄金行业发展的骨干企业，并在国内同行业中具有重要影响力。到2015年，行业内主营业务年收入过50亿元的企业1家，过亿元企业9家。省属国有黄金企业资产规模不断扩大，经济效益显著提高。湖南黄金集团公司2015年实现销售收入61亿元，企业资产规模由2011年的44.5亿元增长到2015年的89.7亿元，利润年均增长25%。岳阳市、怀化市等重点产金地区积极支持黄金产业发展，一批中小黄金企业快速发展，成为地区骨干企业。</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二是探矿增储持续加快。“十二五”期间，我省黄金行业和企业积极开展探矿增储，加大地质勘查投入，加强对外合作，加快建设新资源基地，探矿增储取得新成果。</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全行业五年累计投入探矿资金30亿元，其中地质勘查资金10亿元。到2015年末，全省保有黄金资源储量310.22吨，五年新增备案资源储量132.2吨；资源储量排名全国靠前，2011年至2014年，黄金矿产查明资源储量在全国位次分别为15位、17位、13位、9位，4年位次提升8位；保有和查明黄金资源储量年均增长14.2%，高于全省其他有色金属储量增长幅度，总体实现新增查明资源储量大于生产消耗资源储量目标。</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重点企业资源增储取得较大进展。湖南黄金集团公司五年累计投入探矿资金10亿元。至2015年末，企业保有矿石量6383万吨，其中金金属量121.3吨、锑21.9万吨、钨10.6万吨、铜3986吨，黄金资源储量年均增长15%。黄金洞矿业公司及其控股企业大万矿业公司、湖南凯鑫黄金投资公司、湖南玉坤矿业公司、常宁市龙鑫矿业公司、平江县黄金总公司江东金矿等企业保有资源储量实现较大增长。</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——老矿山深边部探矿取得较大突破。全省老黄金矿山现有资源基地深边部探矿五年新增黄金资源储量70吨以上。</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省内重点地区探矿效果显著。平江县万古、常宁市龙鑫、新化县古台山、新邵县大兴、会同县大叶塘等矿区探矿效果良好。其中，平江县团家洞金矿新增资源储量10吨，常宁市龙鑫公司新增资源储量7吨。2014年“新邵县大兴矿区地质普查”等3个地质勘探项目获省政府表彰。</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省外资源基地建设加快推进。重点企业积极拓展外部资源，加快建设新的资源基地。2014年，湖南辰州矿业有限责任公司在甘肃南部地区开展地质找矿取得重大突破，年内三个勘查区块探获黄金资源量有望超过50吨。湖南黄金集团公司实施“走出去”战略，积极参与境外黄金及其他有色金属资源开发，海外资源基地建设稳步推进，目前投资参与多个境外黄金矿山开发，开展包括黄金在内的多种有色金属矿石贸易，拥有境外黄金资源量30吨以上。</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三是行业结构不断优化。“十二五”期间，我省加快资源整合、推动兼并重组，推进行业结构优化升级，力促转型发展，行业新的发展格局初步形成。</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落实国家产业政策，严格控制日处理能力100吨以下企业，坚决淘汰落后产能。通过资源整合和兼并重组，全省黄金企业数量由“十一五”初100多家减少到目前的60家左右，产业集中度进一步提高，“小而散”的局面得到有效改善。</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坚持扶大做强，积极培育发展大企业。重点支持管理技术先进、资源保障能力强，竞争实力突出的省属企业做大做强，发挥骨干企业龙头引领作用，推动全行业资源集中集约开发利用。“十二五”期间，省属黄金企业黄金产量占全省黄金总产量的六成以上。</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以金为主、多金属开发并举。重点黄金企业在稳定发展主业的同时，积极稳妥进入非金领域投资开发。湖南黄金集团由传统的金、锑、钨开采适度向金锑钨精深加工和相关配套产品及铜、铅、锌等有色金属投资开发转变转型，并取得积极成效。“十二五”期间，黄金行业非金产品产值占比逐年增加。</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产业园区加快发展。郴州市永兴县近些年来大力发展有色金属冶炼加工和稀贵金属再生利用产业，形成多个产业集中区和一个国家级循环经济工业园。园区企业利用工业矿渣和工业废渣为原料，冶炼回收和加工有色及稀贵金属，年回收黄金6吨以上，白银2000吨以上，成为我省黄金行业新的重要增长极。</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四是重点项目加快推进。“十二五”期间，行业规划基建、技改科研等重点项目18个，计划投入资金8.35亿元。期内实际启动12个重点项目建设，实际投入资金30多亿元。截至2015年，11个项目建成投产或投入使用。重大基础设施和技改项目陆续开工或建成投产，极大地改善了行业整体技术状况，有效提升了行业装备水平，并培育形成多个新的增长点，有力促进了我省黄金行业结构调整和产业转型升级。</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五是技术进步成果突出。“十二五”期间，我省黄金行业坚持“科技兴金”战略，新技术、新工艺、新设备加快推广应用，行业核心竞争力进一步提升。</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实施一批重大技改和科研项目。期内完成重大技术改造和科研项目14个，进一步带动黄金产业发展水平提升。一批行业科研项目获得国家表彰，其中湖南黄金集团公司“富贵锑选择性氯化法提金及多金属综合回收研究与应用”项目、“白钨矿分解新技术的优化与应用”项目、“同时生产多种粒径氧化锑的新工艺研究”项目，湖南黄金洞矿业公司“选金尾矿中金钨综合利用研究与应用”项目被中国黄金协会分别评为行业科技进步一等奖和二等奖；宝山矿业与湖南有色劳保研究院联合完成的井下移动式充填采矿设备与技术研究项目获中国有色金属工业协会科技进步一等奖，宝山矿业公司被省科技厅认定为“高新技术企业”；新龙矿业公司与北京矿冶总院合作完成的“高砷金锑精矿矿浆电解新工艺”技术项目，是国内金锑分离和锑冶炼技术的重大创新，该项技术达到国际先进水平，获首届中国国际黄金大会年度最佳突破奖；黄金洞矿业公司厚大破碎矿体采场机械化研究与应用，获中国黄金协会一线职工科技成果二等奖。</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产学研结合更加紧密。主要黄金企业与高等院校及科研机构在采选冶、装备研发、资源回收、安全环保、信息化建设、“三废”达标治理等方面开展联合科研攻关，并取得良好成果，行业初步形成由企业主导的科研创新体系。目前行业内有省级技术中心两个，“博士后工作站”1个、“院士工作站”1个，企业科研院所1家。</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六是安全环保成效明显。“十二五”期间，全行业认真贯彻《安全生产法》和《环境保护法》，全面落实安全生产与环境保护责任制，安全生产和环境保护治理在全省工矿企业保持领先。</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安全生产保障能力较大提升。各黄金矿山加大安全生产投入，积极推进安全生产标准化建设和管理。重点黄金矿山完成安全生产标准化建设和尾砂库整改治理目标；省属企业全部建成井下安全避险“六大系统”和尾砂库及井下作业在线监测系统。</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环境保护持续改善。通过加大投入，推进技术工艺改造升级，严格实施黄金矿山环境治理恢复保证金制度，行业“三废”达标排放率和矿山环境生态恢复率逐年提高，行业矿产资源综合利用率达到65%以上，主要黄金企业废水全部循环利用，实现零排放，行业有害有毒废弃物排放整体达标。</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——绿色矿山建设取得成效。我省积极引导和加快推进绿色矿山建设，2014年，3家省属黄金矿山企业成为国家级“绿色矿山”试点建设单位。2015年，辰州矿业有限责任公司已向国土资源部申报国家绿色矿山。</w:t>
      </w:r>
    </w:p>
    <w:p>
      <w:pPr>
        <w:pStyle w:val="13"/>
        <w:widowControl w:val="0"/>
        <w:spacing w:line="600" w:lineRule="exact"/>
        <w:ind w:firstLine="643" w:firstLineChars="200"/>
        <w:rPr>
          <w:rFonts w:ascii="仿宋" w:hAnsi="仿宋" w:eastAsia="仿宋"/>
          <w:b/>
          <w:kern w:val="2"/>
          <w:sz w:val="32"/>
          <w:szCs w:val="32"/>
        </w:rPr>
      </w:pPr>
      <w:r>
        <w:rPr>
          <w:rFonts w:hint="eastAsia" w:ascii="仿宋" w:hAnsi="仿宋" w:eastAsia="仿宋"/>
          <w:b/>
          <w:kern w:val="2"/>
          <w:sz w:val="32"/>
          <w:szCs w:val="32"/>
        </w:rPr>
        <w:t>3、存在的问题</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一是行业结构仍需持续优化。我省黄金企业点多面广的主要特征依然较为突出，企业数量相对较多，规模普遍偏小，布局不尽合理。行业整体盈利水平不高，企业自我发展和抗风险能力不强，大企业优势带动效应不明显。行业初级产品比重大，精深加工产品比重小。</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二是资源保有程度相对偏低。尽管我省黄金资源远景储量丰富，但由于地质工作程度还相对滞后、资源过度开采和较低水平开发利用等原因，导致我省黄金优质资源大量消耗。近年来行业资源危机矿山逐年增多，相当数量的黄金企业保有资源储量不足，目前资源服务年限大于10年的企业数量不到10%。企业地勘投入不足，行业缺少重大地质勘查项目及大的勘查突破，资源保障问题将是影响我省黄金工业发展的长期问题。</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三是产业集中度有待提高。我省金矿布局较为松散，长期呈现点多面广的特点，不利于资源的集约开发和高效利用。由于历史原因及利益驱动，资源整合难度较大，虽经多轮整合，但效果不明显，资源集中度和产业集中度与山东、河南等黄金强省还有较大差距。</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四是企业生产经营压力日益增大。随着开采深度不断延伸和入选矿石品位的降低，矿山企业生产成本逐年增加，同时人员工资和生产资料价格逐年上涨，税费负担相对较重，安全生产和环境保护以及建设任务艰巨等因素增多，“十二五”期间，我省黄金矿山综合生产成本增加30%以上，企业利润空间进一步挤压，经济效益大幅度下滑。</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五是发展环境有待改善。企业在发展过程中普遍遇到“办证难”、“用工难”、“矿地矛盾协调难”等问题。近年来，部分黄金矿山与当地村民矛盾紧张，矿地纠纷时有发生，企业生产经营受到严重干扰和影响。</w:t>
      </w:r>
    </w:p>
    <w:p>
      <w:pPr>
        <w:pStyle w:val="13"/>
        <w:widowControl w:val="0"/>
        <w:spacing w:line="600" w:lineRule="exact"/>
        <w:ind w:firstLine="640" w:firstLineChars="200"/>
        <w:rPr>
          <w:rFonts w:ascii="黑体" w:hAnsi="黑体" w:eastAsia="黑体"/>
          <w:kern w:val="2"/>
          <w:sz w:val="32"/>
          <w:szCs w:val="32"/>
        </w:rPr>
      </w:pPr>
      <w:r>
        <w:rPr>
          <w:rFonts w:hint="eastAsia" w:ascii="黑体" w:hAnsi="黑体" w:eastAsia="黑体"/>
          <w:kern w:val="2"/>
          <w:sz w:val="32"/>
          <w:szCs w:val="32"/>
        </w:rPr>
        <w:t>二、“十三五”我省黄金行业面临的挑战和机遇</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 xml:space="preserve"> （一）发展环境</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“十三五”时期，是我省黄金行业加快结构优化，转变发展方式，实现由“黄金大省”向“黄金强省”发展的关键时期，既面临难得的重大发展机遇，也面临着严峻挑战。</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从国际看，当前，世界经济依然处于深度调整期，国际贸易增长乏力，贸易保护主义抬头，地缘政治关系和局部矛盾复杂多变，外部环境不稳定不确定因素增多，全球经济增长动力不足，复苏缓慢。黄金受美元汇率、大宗商品价格等因素影响，价格变化不确定因素增加。但世界和平发展的主题没有变，世界多极化，经济全球化发展方向没有变，新一轮科技产业变革蓄势待发，经济新模式、新业态不断涌现，黄金将在新一轮工业变革中，发挥更加积极重要的作用，其在经济政治中的战略地位将进一步凸显。</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从国内看，我国经济发展进入新常态，经济增速换档，经济下行压力增大，发展方式向更高级阶段加快演化，发展动力主要依靠创新内生驱动。我国经济长期向好发展的基本面没有变，经济韧性强、潜力足、回旋余地大，全面深化改革，实施积极的财政政策和稳健的货币政策，这为保持我国经济平稳增长创造了良好的条件。当前资源和环境约束不断强化，生产要素成本不断上升，黄金矿业发展面临较大压力，行业结构调整、转型升级、提质增效势在必行。随着国内改革和政策红利加快释放，“一带一路”、“中国制造2025”、“互联网＋”等国家战略的加快实施，以国家战略为导向实行更加开放的体制机制，有利于充分利用国内外两个市场，吸引国际要素加速流入，推动国内资源重组，新经济地理格局加速重塑，集聚经济、协同创新、要素流动、区际公平、资源共享加快发展，凸显我国经济发展强劲新动能，黄金产业在国内经济一体化进程中将迎来新的重大发展机遇。</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从省内看，我省正处于重要战略机遇期、区域发展黄金期、创新活力迸发期和转型升级关键期，经济由高速增长向中高速增长转变，实现更高质量发展，产业由低端粗放式发展向中高端水平和集约发展迈进突破，新型工业化、信息化、新型城镇化、农业现代化和绿色化同步发展孕育巨大潜能，全面深化改革和全面推进依法治省将极大释放制度新红利，实施“一带一部”和制造强省等战略，将进一步激活创新发展新动能。随着我省“两型社会”建设向纵深推进和绿色发展理念不断深植，必将推动黄金行业向综合开发利用和精深加工转型发展。</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（二）我省黄金产业发展条件</w:t>
      </w:r>
    </w:p>
    <w:p>
      <w:pPr>
        <w:pStyle w:val="13"/>
        <w:widowControl w:val="0"/>
        <w:spacing w:line="600" w:lineRule="exact"/>
        <w:ind w:firstLine="643" w:firstLineChars="200"/>
        <w:rPr>
          <w:rFonts w:ascii="仿宋" w:hAnsi="仿宋" w:eastAsia="仿宋"/>
          <w:b/>
          <w:kern w:val="2"/>
          <w:sz w:val="32"/>
          <w:szCs w:val="32"/>
        </w:rPr>
      </w:pPr>
      <w:r>
        <w:rPr>
          <w:rFonts w:hint="eastAsia" w:ascii="仿宋" w:hAnsi="仿宋" w:eastAsia="仿宋"/>
          <w:b/>
          <w:kern w:val="2"/>
          <w:sz w:val="32"/>
          <w:szCs w:val="32"/>
        </w:rPr>
        <w:t>1、资源储量</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湖南所处的地理位置和地理环境，具有得天独厚的金矿形成地质条件，黄金矿产资源贮藏丰富，分布广泛且相对集中，未来找矿潜力较大。截至2015年底，全省累计查明黄金资源储量491.8吨；保有黄金资源储量310.22吨。根据现有地质资料预测，我省黄金资源远景储量在1000吨以上，重点地区深部资源潜力巨大，丰富的资源储量可以支撑黄金产业持续健康稳定发展。</w:t>
      </w:r>
    </w:p>
    <w:p>
      <w:pPr>
        <w:pStyle w:val="13"/>
        <w:widowControl w:val="0"/>
        <w:spacing w:line="600" w:lineRule="exact"/>
        <w:ind w:firstLine="643" w:firstLineChars="200"/>
        <w:rPr>
          <w:rFonts w:ascii="仿宋" w:hAnsi="仿宋" w:eastAsia="仿宋"/>
          <w:b/>
          <w:kern w:val="2"/>
          <w:sz w:val="32"/>
          <w:szCs w:val="32"/>
        </w:rPr>
      </w:pPr>
      <w:r>
        <w:rPr>
          <w:rFonts w:hint="eastAsia" w:ascii="仿宋" w:hAnsi="仿宋" w:eastAsia="仿宋"/>
          <w:b/>
          <w:kern w:val="2"/>
          <w:sz w:val="32"/>
          <w:szCs w:val="32"/>
        </w:rPr>
        <w:t>2、开发利用</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经过长期建设发展，我省已形成黄金地质勘探、采矿、选矿、冶炼、产品加工和相关配套设备制造及矿山设计等较为完整的产业体系，可以满足和匹配产业持续健康发展需要。行业关键核心技术领先，黄金资源开发和综合回收在全国同行业中具有较为明显优势，主要黄金矿山矿石回采率、选冶回收率、资源综合利用率达到较高水平，工业“三废”综合回收、稀贵金属和低品位黄金资源开发处于国内同行业领先地位。截至2015年底，行业年处理矿石能力达到500万吨以上，年生产黄金能力30吨以上。</w:t>
      </w:r>
    </w:p>
    <w:p>
      <w:pPr>
        <w:pStyle w:val="13"/>
        <w:widowControl w:val="0"/>
        <w:spacing w:line="600" w:lineRule="exact"/>
        <w:ind w:firstLine="643" w:firstLineChars="200"/>
        <w:rPr>
          <w:rFonts w:ascii="仿宋" w:hAnsi="仿宋" w:eastAsia="仿宋"/>
          <w:b/>
          <w:kern w:val="2"/>
          <w:sz w:val="32"/>
          <w:szCs w:val="32"/>
        </w:rPr>
      </w:pPr>
      <w:r>
        <w:rPr>
          <w:rFonts w:hint="eastAsia" w:ascii="仿宋" w:hAnsi="仿宋" w:eastAsia="仿宋"/>
          <w:b/>
          <w:kern w:val="2"/>
          <w:sz w:val="32"/>
          <w:szCs w:val="32"/>
        </w:rPr>
        <w:t>3、产业政策</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目前，黄金仍被列为国家保护性开采矿种管理，国家在黄金地勘、黄金生产、税收等方面给予黄金企业专项支持，同时，国家积极引导黄金产业结构调整，优化产业布局，鼓励国内黄金企业走出去，参与国际竞争，加快实现黄金工业做优做强，为推进人民币国际化和保障国家经济金融安全提供基础保障。</w:t>
      </w:r>
    </w:p>
    <w:p>
      <w:pPr>
        <w:pStyle w:val="13"/>
        <w:widowControl w:val="0"/>
        <w:spacing w:line="600" w:lineRule="exact"/>
        <w:ind w:firstLine="643" w:firstLineChars="200"/>
        <w:rPr>
          <w:rFonts w:ascii="仿宋" w:hAnsi="仿宋" w:eastAsia="仿宋"/>
          <w:b/>
          <w:kern w:val="2"/>
          <w:sz w:val="32"/>
          <w:szCs w:val="32"/>
        </w:rPr>
      </w:pPr>
      <w:r>
        <w:rPr>
          <w:rFonts w:hint="eastAsia" w:ascii="仿宋" w:hAnsi="仿宋" w:eastAsia="仿宋"/>
          <w:b/>
          <w:kern w:val="2"/>
          <w:sz w:val="32"/>
          <w:szCs w:val="32"/>
        </w:rPr>
        <w:t>4、市场需求</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 xml:space="preserve">“十三五”期间，我国黄金需求将继续保持一定幅度增长，但增长幅度较“十二五”期间有所放缓。综合分析，到2020年，国内央行储备、工业用金、黄金饰品、黄金消费投资等方面年需求在1200吨以上，国内黄金需大于供的市场格局将在以后较长时间内存在。  </w:t>
      </w:r>
    </w:p>
    <w:p>
      <w:pPr>
        <w:pStyle w:val="13"/>
        <w:widowControl w:val="0"/>
        <w:spacing w:line="600" w:lineRule="exact"/>
        <w:ind w:firstLine="640" w:firstLineChars="200"/>
        <w:rPr>
          <w:rFonts w:ascii="黑体" w:hAnsi="黑体" w:eastAsia="黑体"/>
          <w:kern w:val="2"/>
          <w:sz w:val="32"/>
          <w:szCs w:val="32"/>
        </w:rPr>
      </w:pPr>
      <w:r>
        <w:rPr>
          <w:rFonts w:hint="eastAsia" w:ascii="黑体" w:hAnsi="黑体" w:eastAsia="黑体"/>
          <w:kern w:val="2"/>
          <w:sz w:val="32"/>
          <w:szCs w:val="32"/>
        </w:rPr>
        <w:t>三、指导思想、发展原则和主要目标</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（一）指导思想</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全面贯彻落实党的十八大和十八届三中、四中、五中全会精神，牢固树立创新、协调、绿色、开放、共享五大发展理念，加大供给侧结构性改革力度，推动产业优化升级，以合理开发利用资源为目标，实现产业发展方式转变，以科技进步为支撑，推进行业竞争力提升，以资源勘查为重点，提高资源保障能力，坚持扶大做强，培育发展骨干企业，坚持绿色安全发展，推动资源绿色、高效、高端开发，促进全省黄金工业可持续健康发展，努力实现我省由黄金大省向黄金强省跨越。</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（二）基本原则</w:t>
      </w:r>
    </w:p>
    <w:p>
      <w:pPr>
        <w:pStyle w:val="13"/>
        <w:widowControl w:val="0"/>
        <w:spacing w:line="600" w:lineRule="exact"/>
        <w:ind w:firstLine="643" w:firstLineChars="200"/>
        <w:rPr>
          <w:rFonts w:ascii="仿宋" w:hAnsi="仿宋" w:eastAsia="仿宋"/>
          <w:kern w:val="2"/>
          <w:sz w:val="32"/>
          <w:szCs w:val="32"/>
        </w:rPr>
      </w:pPr>
      <w:r>
        <w:rPr>
          <w:rFonts w:hint="eastAsia" w:ascii="仿宋" w:hAnsi="仿宋" w:eastAsia="仿宋"/>
          <w:b/>
          <w:kern w:val="2"/>
          <w:sz w:val="32"/>
          <w:szCs w:val="32"/>
        </w:rPr>
        <w:t>1、坚持资源优先。</w:t>
      </w:r>
      <w:r>
        <w:rPr>
          <w:rFonts w:hint="eastAsia" w:ascii="仿宋" w:hAnsi="仿宋" w:eastAsia="仿宋"/>
          <w:kern w:val="2"/>
          <w:sz w:val="32"/>
          <w:szCs w:val="32"/>
        </w:rPr>
        <w:t>加大地勘投入，加强在省内主要资源地区地质勘查工作，集中力量，实现地质找矿取得重大突破。采用先进勘探技术，加大对有潜力的矿山深边部及外围的勘查力度，实现资源储量升级，有效延长矿山服务年限。加快扩大省外境外资源市场，建立新的资源基地。积极争取政策支持，进一步拓宽资源开发空间，提升资源建设保障能力。</w:t>
      </w:r>
    </w:p>
    <w:p>
      <w:pPr>
        <w:pStyle w:val="13"/>
        <w:widowControl w:val="0"/>
        <w:spacing w:line="600" w:lineRule="exact"/>
        <w:ind w:firstLine="643" w:firstLineChars="200"/>
        <w:rPr>
          <w:rFonts w:ascii="仿宋" w:hAnsi="仿宋" w:eastAsia="仿宋"/>
          <w:kern w:val="2"/>
          <w:sz w:val="32"/>
          <w:szCs w:val="32"/>
        </w:rPr>
      </w:pPr>
      <w:r>
        <w:rPr>
          <w:rFonts w:hint="eastAsia" w:ascii="仿宋" w:hAnsi="仿宋" w:eastAsia="仿宋"/>
          <w:b/>
          <w:kern w:val="2"/>
          <w:sz w:val="32"/>
          <w:szCs w:val="32"/>
        </w:rPr>
        <w:t>2、坚持合理开发。</w:t>
      </w:r>
      <w:r>
        <w:rPr>
          <w:rFonts w:hint="eastAsia" w:ascii="仿宋" w:hAnsi="仿宋" w:eastAsia="仿宋"/>
          <w:kern w:val="2"/>
          <w:sz w:val="32"/>
          <w:szCs w:val="32"/>
        </w:rPr>
        <w:t>规范黄金产业发展布局，推动黄金资源向大企业集中，实现集中集约开发。调整和优化企业组织结构和产品结构，加快黄金企业兼并重组，进一步减少企业数量。严格执行国家产业政策，坚决控制日处理100吨以下规模黄金矿山，发挥市场作用，综合运用行政法律手段，加快淘汰生产工艺落后、资源综合开发利用水平低的企业和产能，提高产业集中度。加大产业下游产品开发设计，发展产品精深加工，形成高附加值黄金深加工产品，实现全产业链发展。</w:t>
      </w:r>
    </w:p>
    <w:p>
      <w:pPr>
        <w:pStyle w:val="13"/>
        <w:widowControl w:val="0"/>
        <w:spacing w:line="600" w:lineRule="exact"/>
        <w:ind w:firstLine="643" w:firstLineChars="200"/>
        <w:rPr>
          <w:rFonts w:ascii="仿宋" w:hAnsi="仿宋" w:eastAsia="仿宋"/>
          <w:kern w:val="2"/>
          <w:sz w:val="32"/>
          <w:szCs w:val="32"/>
        </w:rPr>
      </w:pPr>
      <w:r>
        <w:rPr>
          <w:rFonts w:hint="eastAsia" w:ascii="仿宋" w:hAnsi="仿宋" w:eastAsia="仿宋"/>
          <w:b/>
          <w:kern w:val="2"/>
          <w:sz w:val="32"/>
          <w:szCs w:val="32"/>
        </w:rPr>
        <w:t>3、坚持创新驱动</w:t>
      </w:r>
      <w:r>
        <w:rPr>
          <w:rFonts w:hint="eastAsia" w:ascii="仿宋" w:hAnsi="仿宋" w:eastAsia="仿宋"/>
          <w:kern w:val="2"/>
          <w:sz w:val="32"/>
          <w:szCs w:val="32"/>
        </w:rPr>
        <w:t>。充分发挥科学技术对黄金工业发展的引领和支撑作用，着力突破低品位难处理黄金资源高效利用、产品高附加值深加工和深部金矿找矿方法技术。以企业为主体，推进产学研紧密结合，健全完善科技创新体系，提高产业核心竞争力。</w:t>
      </w:r>
    </w:p>
    <w:p>
      <w:pPr>
        <w:pStyle w:val="13"/>
        <w:widowControl w:val="0"/>
        <w:spacing w:line="600" w:lineRule="exact"/>
        <w:ind w:firstLine="643" w:firstLineChars="200"/>
        <w:rPr>
          <w:rFonts w:ascii="仿宋" w:hAnsi="仿宋" w:eastAsia="仿宋"/>
          <w:kern w:val="2"/>
          <w:sz w:val="32"/>
          <w:szCs w:val="32"/>
        </w:rPr>
      </w:pPr>
      <w:r>
        <w:rPr>
          <w:rFonts w:hint="eastAsia" w:ascii="仿宋" w:hAnsi="仿宋" w:eastAsia="仿宋"/>
          <w:b/>
          <w:kern w:val="2"/>
          <w:sz w:val="32"/>
          <w:szCs w:val="32"/>
        </w:rPr>
        <w:t>4、坚持开放合作。</w:t>
      </w:r>
      <w:r>
        <w:rPr>
          <w:rFonts w:hint="eastAsia" w:ascii="仿宋" w:hAnsi="仿宋" w:eastAsia="仿宋"/>
          <w:kern w:val="2"/>
          <w:sz w:val="32"/>
          <w:szCs w:val="32"/>
        </w:rPr>
        <w:t>加强对外合作，实施“走出去”战略。充分利用矿业市场调整机遇，开展横向合作，融入国际竞争，借鉴吸收国际大型矿业公司先进的管理理念和科技成果，全方位与国内外一流矿业公司接轨合作，全面提升我省黄金企业国际化经营管理水平。</w:t>
      </w:r>
    </w:p>
    <w:p>
      <w:pPr>
        <w:pStyle w:val="13"/>
        <w:widowControl w:val="0"/>
        <w:spacing w:line="600" w:lineRule="exact"/>
        <w:ind w:firstLine="643" w:firstLineChars="200"/>
        <w:rPr>
          <w:rFonts w:ascii="仿宋" w:hAnsi="仿宋" w:eastAsia="仿宋"/>
          <w:kern w:val="2"/>
          <w:sz w:val="32"/>
          <w:szCs w:val="32"/>
        </w:rPr>
      </w:pPr>
      <w:r>
        <w:rPr>
          <w:rFonts w:hint="eastAsia" w:ascii="仿宋" w:hAnsi="仿宋" w:eastAsia="仿宋"/>
          <w:b/>
          <w:kern w:val="2"/>
          <w:sz w:val="32"/>
          <w:szCs w:val="32"/>
        </w:rPr>
        <w:t>5、坚持绿色发展。</w:t>
      </w:r>
      <w:r>
        <w:rPr>
          <w:rFonts w:hint="eastAsia" w:ascii="仿宋" w:hAnsi="仿宋" w:eastAsia="仿宋"/>
          <w:kern w:val="2"/>
          <w:sz w:val="32"/>
          <w:szCs w:val="32"/>
        </w:rPr>
        <w:t>大力发展循环经济，应用新技术、新设备、新工艺，提高资源综合利用率，积极探索应用提金新工艺，全面推进清洁生产和绿色矿山建设，实现资源开发与环境保护并举，经济效益与社会效益并重的可持续发展目标。　</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（三）发展目标</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十三五”期间，我省黄金产业结构调整和产业转型升级取得突破性进展，产业发展水平全面提升，经济效益显著提高，生态环境进一步改善，布局合理、结构优化、技术先进、清洁安全、高质高端发展的现代黄金产业体系基本形成，实现由黄金大省到黄金强省跨越发展目标。</w:t>
      </w:r>
    </w:p>
    <w:p>
      <w:pPr>
        <w:pStyle w:val="13"/>
        <w:widowControl w:val="0"/>
        <w:spacing w:line="600" w:lineRule="exact"/>
        <w:ind w:firstLine="643" w:firstLineChars="200"/>
        <w:rPr>
          <w:rFonts w:ascii="仿宋" w:hAnsi="仿宋" w:eastAsia="仿宋"/>
          <w:kern w:val="2"/>
          <w:sz w:val="32"/>
          <w:szCs w:val="32"/>
        </w:rPr>
      </w:pPr>
      <w:r>
        <w:rPr>
          <w:rFonts w:hint="eastAsia" w:ascii="仿宋" w:hAnsi="仿宋" w:eastAsia="仿宋"/>
          <w:b/>
          <w:kern w:val="2"/>
          <w:sz w:val="32"/>
          <w:szCs w:val="32"/>
        </w:rPr>
        <w:t>1、主要指标。</w:t>
      </w:r>
      <w:r>
        <w:rPr>
          <w:rFonts w:hint="eastAsia" w:ascii="仿宋" w:hAnsi="仿宋" w:eastAsia="仿宋"/>
          <w:kern w:val="2"/>
          <w:sz w:val="32"/>
          <w:szCs w:val="32"/>
        </w:rPr>
        <w:t>“十三五”黄金产量年均增长9%，增速保持高于全国黄金行业平均水平；2020年，全省黄金年产量达到46.2吨，其中矿产金36.2吨；2020年全省黄金行业主营业务收入达到150亿元。“十三五”期间，全省黄金累计产量192吨，其中黄金矿产金148吨，全省黄金行业主营业务收入累计达到610亿元，</w:t>
      </w:r>
    </w:p>
    <w:p>
      <w:pPr>
        <w:pStyle w:val="13"/>
        <w:widowControl w:val="0"/>
        <w:spacing w:line="600" w:lineRule="exact"/>
        <w:rPr>
          <w:rFonts w:ascii="仿宋" w:hAnsi="仿宋" w:eastAsia="仿宋"/>
          <w:kern w:val="2"/>
          <w:sz w:val="32"/>
          <w:szCs w:val="32"/>
        </w:rPr>
      </w:pPr>
    </w:p>
    <w:p>
      <w:pPr>
        <w:pStyle w:val="13"/>
        <w:widowControl w:val="0"/>
        <w:spacing w:line="600" w:lineRule="exact"/>
        <w:jc w:val="center"/>
        <w:rPr>
          <w:rFonts w:ascii="仿宋" w:hAnsi="仿宋" w:eastAsia="仿宋"/>
          <w:kern w:val="2"/>
          <w:sz w:val="32"/>
          <w:szCs w:val="32"/>
        </w:rPr>
      </w:pPr>
      <w:r>
        <w:rPr>
          <w:rFonts w:hint="eastAsia" w:ascii="仿宋" w:hAnsi="仿宋" w:eastAsia="仿宋"/>
          <w:kern w:val="2"/>
          <w:sz w:val="32"/>
          <w:szCs w:val="32"/>
        </w:rPr>
        <w:t>“十三五”时期黄金工业发展主要指标</w:t>
      </w:r>
    </w:p>
    <w:tbl>
      <w:tblPr>
        <w:tblStyle w:val="8"/>
        <w:tblW w:w="8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7"/>
        <w:gridCol w:w="3092"/>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3097" w:type="dxa"/>
            <w:vAlign w:val="center"/>
          </w:tcPr>
          <w:p>
            <w:pPr>
              <w:spacing w:line="280" w:lineRule="exact"/>
              <w:jc w:val="center"/>
              <w:rPr>
                <w:rFonts w:ascii="仿宋" w:hAnsi="仿宋" w:eastAsia="仿宋"/>
                <w:color w:val="000000"/>
                <w:sz w:val="24"/>
              </w:rPr>
            </w:pPr>
            <w:r>
              <w:rPr>
                <w:rFonts w:hint="eastAsia" w:ascii="仿宋" w:hAnsi="仿宋" w:eastAsia="仿宋"/>
                <w:color w:val="000000"/>
                <w:sz w:val="24"/>
              </w:rPr>
              <w:t>主要指标</w:t>
            </w:r>
          </w:p>
        </w:tc>
        <w:tc>
          <w:tcPr>
            <w:tcW w:w="3092" w:type="dxa"/>
            <w:vAlign w:val="center"/>
          </w:tcPr>
          <w:p>
            <w:pPr>
              <w:spacing w:line="280" w:lineRule="exact"/>
              <w:jc w:val="center"/>
              <w:rPr>
                <w:rFonts w:ascii="仿宋" w:hAnsi="仿宋" w:eastAsia="仿宋"/>
                <w:color w:val="000000"/>
                <w:sz w:val="24"/>
              </w:rPr>
            </w:pPr>
            <w:r>
              <w:rPr>
                <w:rFonts w:hint="eastAsia" w:ascii="仿宋" w:hAnsi="仿宋" w:eastAsia="仿宋"/>
                <w:color w:val="000000"/>
                <w:sz w:val="24"/>
              </w:rPr>
              <w:t>2020年</w:t>
            </w:r>
          </w:p>
        </w:tc>
        <w:tc>
          <w:tcPr>
            <w:tcW w:w="2682" w:type="dxa"/>
            <w:vAlign w:val="center"/>
          </w:tcPr>
          <w:p>
            <w:pPr>
              <w:spacing w:line="280" w:lineRule="exact"/>
              <w:jc w:val="center"/>
              <w:rPr>
                <w:rFonts w:ascii="仿宋" w:hAnsi="仿宋" w:eastAsia="仿宋"/>
                <w:color w:val="000000"/>
                <w:sz w:val="24"/>
              </w:rPr>
            </w:pPr>
            <w:r>
              <w:rPr>
                <w:rFonts w:hint="eastAsia" w:ascii="仿宋" w:hAnsi="仿宋" w:eastAsia="仿宋"/>
                <w:color w:val="000000"/>
                <w:sz w:val="24"/>
              </w:rPr>
              <w:t>“十三五”期间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3097" w:type="dxa"/>
            <w:vAlign w:val="center"/>
          </w:tcPr>
          <w:p>
            <w:pPr>
              <w:spacing w:line="280" w:lineRule="exact"/>
              <w:jc w:val="center"/>
              <w:rPr>
                <w:rFonts w:ascii="仿宋" w:hAnsi="仿宋" w:eastAsia="仿宋"/>
                <w:color w:val="000000"/>
                <w:sz w:val="24"/>
              </w:rPr>
            </w:pPr>
            <w:r>
              <w:rPr>
                <w:rFonts w:ascii="仿宋" w:hAnsi="仿宋" w:eastAsia="仿宋"/>
                <w:color w:val="000000"/>
                <w:sz w:val="24"/>
              </w:rPr>
              <w:t>黄金产量增长速度（</w:t>
            </w:r>
            <w:r>
              <w:rPr>
                <w:rFonts w:hint="eastAsia" w:ascii="仿宋" w:hAnsi="仿宋" w:eastAsia="仿宋"/>
                <w:color w:val="000000"/>
                <w:sz w:val="24"/>
              </w:rPr>
              <w:t>%</w:t>
            </w:r>
            <w:r>
              <w:rPr>
                <w:rFonts w:ascii="仿宋" w:hAnsi="仿宋" w:eastAsia="仿宋"/>
                <w:color w:val="000000"/>
                <w:sz w:val="24"/>
              </w:rPr>
              <w:t>）</w:t>
            </w:r>
          </w:p>
        </w:tc>
        <w:tc>
          <w:tcPr>
            <w:tcW w:w="3092" w:type="dxa"/>
            <w:vAlign w:val="center"/>
          </w:tcPr>
          <w:p>
            <w:pPr>
              <w:spacing w:line="280" w:lineRule="exact"/>
              <w:jc w:val="center"/>
              <w:rPr>
                <w:rFonts w:ascii="仿宋" w:hAnsi="仿宋" w:eastAsia="仿宋"/>
                <w:color w:val="000000"/>
                <w:sz w:val="24"/>
              </w:rPr>
            </w:pPr>
          </w:p>
        </w:tc>
        <w:tc>
          <w:tcPr>
            <w:tcW w:w="2682" w:type="dxa"/>
            <w:vAlign w:val="center"/>
          </w:tcPr>
          <w:p>
            <w:pPr>
              <w:spacing w:line="280" w:lineRule="exact"/>
              <w:jc w:val="center"/>
              <w:rPr>
                <w:rFonts w:ascii="仿宋" w:hAnsi="仿宋" w:eastAsia="仿宋"/>
                <w:color w:val="000000"/>
                <w:sz w:val="24"/>
              </w:rPr>
            </w:pPr>
            <w:r>
              <w:rPr>
                <w:rFonts w:ascii="仿宋" w:hAnsi="仿宋" w:eastAsia="仿宋"/>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3097" w:type="dxa"/>
            <w:vAlign w:val="center"/>
          </w:tcPr>
          <w:p>
            <w:pPr>
              <w:spacing w:line="280" w:lineRule="exact"/>
              <w:jc w:val="center"/>
              <w:rPr>
                <w:rFonts w:ascii="仿宋" w:hAnsi="仿宋" w:eastAsia="仿宋"/>
                <w:color w:val="000000"/>
                <w:sz w:val="24"/>
              </w:rPr>
            </w:pPr>
            <w:r>
              <w:rPr>
                <w:rFonts w:ascii="仿宋" w:hAnsi="仿宋" w:eastAsia="仿宋"/>
                <w:color w:val="000000"/>
                <w:sz w:val="24"/>
              </w:rPr>
              <w:t>黄金产量（千克）</w:t>
            </w:r>
          </w:p>
        </w:tc>
        <w:tc>
          <w:tcPr>
            <w:tcW w:w="3092" w:type="dxa"/>
            <w:vAlign w:val="center"/>
          </w:tcPr>
          <w:p>
            <w:pPr>
              <w:spacing w:line="280" w:lineRule="exact"/>
              <w:jc w:val="center"/>
              <w:rPr>
                <w:rFonts w:ascii="仿宋" w:hAnsi="仿宋" w:eastAsia="仿宋"/>
                <w:color w:val="000000"/>
                <w:sz w:val="24"/>
              </w:rPr>
            </w:pPr>
            <w:r>
              <w:rPr>
                <w:rFonts w:ascii="仿宋" w:hAnsi="仿宋" w:eastAsia="仿宋"/>
                <w:color w:val="000000"/>
                <w:sz w:val="24"/>
              </w:rPr>
              <w:t>46200</w:t>
            </w:r>
          </w:p>
        </w:tc>
        <w:tc>
          <w:tcPr>
            <w:tcW w:w="2682" w:type="dxa"/>
            <w:vAlign w:val="center"/>
          </w:tcPr>
          <w:p>
            <w:pPr>
              <w:spacing w:line="280" w:lineRule="exact"/>
              <w:jc w:val="center"/>
              <w:rPr>
                <w:rFonts w:ascii="仿宋" w:hAnsi="仿宋" w:eastAsia="仿宋"/>
                <w:color w:val="000000"/>
                <w:sz w:val="24"/>
              </w:rPr>
            </w:pPr>
            <w:r>
              <w:rPr>
                <w:rFonts w:ascii="仿宋" w:hAnsi="仿宋" w:eastAsia="仿宋"/>
                <w:color w:val="000000"/>
                <w:sz w:val="24"/>
              </w:rPr>
              <w:t>192000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3097" w:type="dxa"/>
            <w:vAlign w:val="center"/>
          </w:tcPr>
          <w:p>
            <w:pPr>
              <w:spacing w:line="280" w:lineRule="exact"/>
              <w:jc w:val="center"/>
              <w:rPr>
                <w:rFonts w:ascii="仿宋" w:hAnsi="仿宋" w:eastAsia="仿宋"/>
                <w:color w:val="000000"/>
                <w:sz w:val="24"/>
              </w:rPr>
            </w:pPr>
            <w:r>
              <w:rPr>
                <w:rFonts w:ascii="仿宋" w:hAnsi="仿宋" w:eastAsia="仿宋"/>
                <w:color w:val="000000"/>
                <w:sz w:val="24"/>
              </w:rPr>
              <w:t>主营业务收入（亿元）</w:t>
            </w:r>
          </w:p>
        </w:tc>
        <w:tc>
          <w:tcPr>
            <w:tcW w:w="3092" w:type="dxa"/>
            <w:vAlign w:val="center"/>
          </w:tcPr>
          <w:p>
            <w:pPr>
              <w:spacing w:line="280" w:lineRule="exact"/>
              <w:jc w:val="center"/>
              <w:rPr>
                <w:rFonts w:ascii="仿宋" w:hAnsi="仿宋" w:eastAsia="仿宋"/>
                <w:color w:val="000000"/>
                <w:sz w:val="24"/>
              </w:rPr>
            </w:pPr>
            <w:r>
              <w:rPr>
                <w:rFonts w:ascii="仿宋" w:hAnsi="仿宋" w:eastAsia="仿宋"/>
                <w:color w:val="000000"/>
                <w:sz w:val="24"/>
              </w:rPr>
              <w:t>150</w:t>
            </w:r>
          </w:p>
        </w:tc>
        <w:tc>
          <w:tcPr>
            <w:tcW w:w="2682" w:type="dxa"/>
            <w:vAlign w:val="center"/>
          </w:tcPr>
          <w:p>
            <w:pPr>
              <w:spacing w:line="280" w:lineRule="exact"/>
              <w:jc w:val="center"/>
              <w:rPr>
                <w:rFonts w:ascii="仿宋" w:hAnsi="仿宋" w:eastAsia="仿宋"/>
                <w:color w:val="000000"/>
                <w:sz w:val="24"/>
              </w:rPr>
            </w:pPr>
            <w:r>
              <w:rPr>
                <w:rFonts w:ascii="仿宋" w:hAnsi="仿宋" w:eastAsia="仿宋"/>
                <w:color w:val="000000"/>
                <w:sz w:val="24"/>
              </w:rPr>
              <w:t>610</w:t>
            </w:r>
          </w:p>
        </w:tc>
      </w:tr>
    </w:tbl>
    <w:p>
      <w:pPr>
        <w:pStyle w:val="13"/>
        <w:widowControl w:val="0"/>
        <w:spacing w:line="600" w:lineRule="exact"/>
        <w:ind w:firstLine="643" w:firstLineChars="200"/>
        <w:rPr>
          <w:rFonts w:ascii="仿宋" w:hAnsi="仿宋" w:eastAsia="仿宋"/>
          <w:kern w:val="2"/>
          <w:sz w:val="32"/>
          <w:szCs w:val="32"/>
        </w:rPr>
      </w:pPr>
      <w:r>
        <w:rPr>
          <w:rFonts w:hint="eastAsia" w:ascii="仿宋" w:hAnsi="仿宋" w:eastAsia="仿宋"/>
          <w:b/>
          <w:kern w:val="2"/>
          <w:sz w:val="32"/>
          <w:szCs w:val="32"/>
        </w:rPr>
        <w:t>2、产业结构。</w:t>
      </w:r>
      <w:r>
        <w:rPr>
          <w:rFonts w:hint="eastAsia" w:ascii="仿宋" w:hAnsi="仿宋" w:eastAsia="仿宋"/>
          <w:kern w:val="2"/>
          <w:sz w:val="32"/>
          <w:szCs w:val="32"/>
        </w:rPr>
        <w:t>产业结构持续优化，产业布局更加合理，产业集中度进一步提高。到2020年，产业集中度提高到70%以上；培育年产黄金30吨以上、年销售收入超过200亿元的企业1家，年产黄金5吨以上企业4家，年产黄金1吨以上企业5家；有色冶炼副产金达到7吨以上；</w:t>
      </w:r>
    </w:p>
    <w:p>
      <w:pPr>
        <w:pStyle w:val="13"/>
        <w:widowControl w:val="0"/>
        <w:spacing w:line="600" w:lineRule="exact"/>
        <w:ind w:firstLine="643" w:firstLineChars="200"/>
        <w:rPr>
          <w:rFonts w:ascii="仿宋" w:hAnsi="仿宋" w:eastAsia="仿宋"/>
          <w:kern w:val="2"/>
          <w:sz w:val="32"/>
          <w:szCs w:val="32"/>
        </w:rPr>
      </w:pPr>
      <w:r>
        <w:rPr>
          <w:rFonts w:hint="eastAsia" w:ascii="仿宋" w:hAnsi="仿宋" w:eastAsia="仿宋"/>
          <w:b/>
          <w:kern w:val="2"/>
          <w:sz w:val="32"/>
          <w:szCs w:val="32"/>
        </w:rPr>
        <w:t>3、创新能力。</w:t>
      </w:r>
      <w:r>
        <w:rPr>
          <w:rFonts w:hint="eastAsia" w:ascii="仿宋" w:hAnsi="仿宋" w:eastAsia="仿宋"/>
          <w:kern w:val="2"/>
          <w:sz w:val="32"/>
          <w:szCs w:val="32"/>
        </w:rPr>
        <w:t>到2020年，行业重点领域核心技术达到国际领先水平，行业整体技术水平国内领先。黄金重点企业研发经费投入占主营业务收入2%以上；黄金采选冶、产品精深加工工艺和装备国内领先；行业机械化、自动化、信息化水平达到国内先进水平；建设国家级行业创新平台1个，新增省级技术中心2家。</w:t>
      </w:r>
    </w:p>
    <w:p>
      <w:pPr>
        <w:pStyle w:val="13"/>
        <w:widowControl w:val="0"/>
        <w:spacing w:line="600" w:lineRule="exact"/>
        <w:ind w:firstLine="643" w:firstLineChars="200"/>
        <w:rPr>
          <w:rFonts w:ascii="仿宋" w:hAnsi="仿宋" w:eastAsia="仿宋"/>
          <w:kern w:val="2"/>
          <w:sz w:val="32"/>
          <w:szCs w:val="32"/>
        </w:rPr>
      </w:pPr>
      <w:r>
        <w:rPr>
          <w:rFonts w:hint="eastAsia" w:ascii="仿宋" w:hAnsi="仿宋" w:eastAsia="仿宋"/>
          <w:b/>
          <w:kern w:val="2"/>
          <w:sz w:val="32"/>
          <w:szCs w:val="32"/>
        </w:rPr>
        <w:t>4、绿色发展。</w:t>
      </w:r>
      <w:r>
        <w:rPr>
          <w:rFonts w:hint="eastAsia" w:ascii="仿宋" w:hAnsi="仿宋" w:eastAsia="仿宋"/>
          <w:kern w:val="2"/>
          <w:sz w:val="32"/>
          <w:szCs w:val="32"/>
        </w:rPr>
        <w:t>到2020年，行业清洁生产和循环利用达到国内先进水平，节能减排指标全面达标。工业废水循环利用，实现零排放；省属黄金矿山全部建成国家级绿色矿山，发展3－5家地方国有和民营黄金矿山进入国家级绿色矿山建设试点单位。</w:t>
      </w:r>
    </w:p>
    <w:p>
      <w:pPr>
        <w:pStyle w:val="13"/>
        <w:widowControl w:val="0"/>
        <w:spacing w:line="600" w:lineRule="exact"/>
        <w:ind w:firstLine="643" w:firstLineChars="200"/>
        <w:rPr>
          <w:rFonts w:ascii="仿宋" w:hAnsi="仿宋" w:eastAsia="仿宋"/>
          <w:kern w:val="2"/>
          <w:sz w:val="32"/>
          <w:szCs w:val="32"/>
        </w:rPr>
      </w:pPr>
      <w:r>
        <w:rPr>
          <w:rFonts w:hint="eastAsia" w:ascii="仿宋" w:hAnsi="仿宋" w:eastAsia="仿宋"/>
          <w:b/>
          <w:kern w:val="2"/>
          <w:sz w:val="32"/>
          <w:szCs w:val="32"/>
        </w:rPr>
        <w:t>5、资源保障。</w:t>
      </w:r>
      <w:r>
        <w:rPr>
          <w:rFonts w:hint="eastAsia" w:ascii="仿宋" w:hAnsi="仿宋" w:eastAsia="仿宋"/>
          <w:kern w:val="2"/>
          <w:sz w:val="32"/>
          <w:szCs w:val="32"/>
        </w:rPr>
        <w:t>“十三五”期间，黄金保有资源储量年均增长10%以上，到2020年，黄金资源勘查实现较大突破，省内力争发现1－2个大型黄金矿床，主要黄金企业省外海外资源基地建设有新的突破；老矿山深边部探矿取得重要进展，资源接续能力持续增强，行业资源服务年限超过10年的黄金矿山占比达到20%以上，行业整体实现新增资源储量大于消耗量目标。</w:t>
      </w:r>
    </w:p>
    <w:p>
      <w:pPr>
        <w:pStyle w:val="13"/>
        <w:widowControl w:val="0"/>
        <w:spacing w:line="600" w:lineRule="exact"/>
        <w:ind w:firstLine="640" w:firstLineChars="200"/>
        <w:rPr>
          <w:rFonts w:ascii="黑体" w:hAnsi="黑体" w:eastAsia="黑体"/>
          <w:kern w:val="2"/>
          <w:sz w:val="32"/>
          <w:szCs w:val="32"/>
        </w:rPr>
      </w:pPr>
      <w:r>
        <w:rPr>
          <w:rFonts w:hint="eastAsia" w:ascii="黑体" w:hAnsi="黑体" w:eastAsia="黑体"/>
          <w:kern w:val="2"/>
          <w:sz w:val="32"/>
          <w:szCs w:val="32"/>
        </w:rPr>
        <w:t>四、产业布局和主要任务</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（一）产业布局</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依据我省黄金矿产资源分布特点和产业发展现状，实施“1434”战略，即着力打造1个大型企业集团，建设4个产业基地，3个特色产业区，4个金矿资源重点勘查区。</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1个大型企业集团：以湖南黄金集团公司为核心，整合省内黄金矿产资源，培育打造一个年产黄金30吨以上的省内黄金和有色资源开发龙头企业和国内国际知名的大型综合型矿业集团企业。</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4个产业基地：着力建设辰州矿业有限责任公司黄金精炼及多金属综合回收基地；中南黄金冶炼有限责任公司处理含砷、含硫难选冶金矿多元素综合回收基地；郴州永兴县工业“三废”回收有色及稀贵金属循环经济基地；湖南黄金集团公司长沙经济开发区100吨标准金、黄金珠宝首饰深加工、产品研发检测及黄金贸易基地。</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3个特色产业区：重点打造平江、醴陵、浏阳高砷高硫金矿采选冶产业区；沅陵金、锑、钨金属资源开发产业区；新邵低品位含砷金锑矿开发及金锑湿法冶炼产业区。</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4个金矿资源重点勘查区：着重推进以平江、浏阳、醴陵及炎陵等地区为重点的湘东北黄金资源勘查区，以会同、溆浦、洪江、沅陵、桃源等地区为重点的湘西北黄金资源勘查区，以桃江、安化、新化、新邵、隆回等地区为重点的湘中黄金资源勘查区，以常宁、桂阳等地区为重点的湘南黄金资源勘查区的地质勘查工作。</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（二）主要任务</w:t>
      </w:r>
    </w:p>
    <w:p>
      <w:pPr>
        <w:pStyle w:val="13"/>
        <w:widowControl w:val="0"/>
        <w:spacing w:line="600" w:lineRule="exact"/>
        <w:ind w:firstLine="643" w:firstLineChars="200"/>
        <w:rPr>
          <w:rFonts w:ascii="仿宋" w:hAnsi="仿宋" w:eastAsia="仿宋"/>
          <w:b/>
          <w:kern w:val="2"/>
          <w:sz w:val="32"/>
          <w:szCs w:val="32"/>
        </w:rPr>
      </w:pPr>
      <w:r>
        <w:rPr>
          <w:rFonts w:hint="eastAsia" w:ascii="仿宋" w:hAnsi="仿宋" w:eastAsia="仿宋"/>
          <w:b/>
          <w:kern w:val="2"/>
          <w:sz w:val="32"/>
          <w:szCs w:val="32"/>
        </w:rPr>
        <w:t>1、加大探矿增储，夯实发展基础</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以企业为主导，探索建立多元化黄金地质勘探机制，形成多渠道、多方式黄金资源勘探合作模式，推动风险资金投入湖南黄金资源地勘市场；针对四个金矿资源重点勘查区域，加大资源勘查投资和地质工作力度。探索实施“走出去”战略，积极参与国内外黄金资源市场竞争，鼓励支持有条件、有实力的企业开展国内和国际黄金资源开发合作，有序实施资源布局，通过合作、并购、重组等方式，提升控制矿产资源总量，提高资源保障程度，夯实发展基础。</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地质勘查以有资源潜力的老矿山深边部和外围及两翼为主要目标，组织开展深边部探矿，实现老矿山资源接续，扩大矿山保有储量规模，有效延长矿山服务年限。加强企业外联合作，探索建立多元化勘查开发投入机制，推动探采一体化发展，通过风险投资、购买矿权、矿石贸易、承接加工等途径，积极参与我国中西部和境外黄金及其它有色金属资源开发。充分利用政策，积极参与矿业权一级市场，获取黄金资源探矿权、采矿权。积极对接国家“一带一路”发展战略，加快省外及“一带一路”沿线国家黄金及其它有色金属资源布局开发，建立新的资源基地，形成新的资源接续，提高资源保障水平。</w:t>
      </w:r>
    </w:p>
    <w:p>
      <w:pPr>
        <w:pStyle w:val="13"/>
        <w:widowControl w:val="0"/>
        <w:spacing w:line="600" w:lineRule="exact"/>
        <w:ind w:firstLine="643" w:firstLineChars="200"/>
        <w:rPr>
          <w:rFonts w:ascii="仿宋" w:hAnsi="仿宋" w:eastAsia="仿宋"/>
          <w:b/>
          <w:kern w:val="2"/>
          <w:sz w:val="32"/>
          <w:szCs w:val="32"/>
        </w:rPr>
      </w:pPr>
      <w:r>
        <w:rPr>
          <w:rFonts w:hint="eastAsia" w:ascii="仿宋" w:hAnsi="仿宋" w:eastAsia="仿宋"/>
          <w:b/>
          <w:kern w:val="2"/>
          <w:sz w:val="32"/>
          <w:szCs w:val="32"/>
        </w:rPr>
        <w:t>2、开展资源整合，提高产业集中度</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充分发挥市场配置资源的决定性作用，“十三五”期间，根据我省黄金矿山分布情况，统筹考虑黄金企业资源和企业生产、技术、人才和资金等因素，重点推进平江万古、醴陵南桥官庄等省内重点黄金矿区资源整合力度，进一步规范矿权设置，优化资源开发布局。按照以大并小、以优并劣原则，加快推进企业兼并重组，进一步减少矿山企业数量，推动黄金资源和矿权向优势企业集中。积极推进重点产金地区黄金产业发展，加大支持骨干企业、主要黄金资源基地和产业园区建设发展，形成规模带动效应，促进行业和地方经济社会发展。认真落实国家产业政策，通过市场和法律手段，坚决淘汰资源保障情况差，安全、环保、能耗、质量和“三率”不达标的落后黄金产能。</w:t>
      </w:r>
    </w:p>
    <w:p>
      <w:pPr>
        <w:pStyle w:val="13"/>
        <w:widowControl w:val="0"/>
        <w:spacing w:line="600" w:lineRule="exact"/>
        <w:ind w:firstLine="643" w:firstLineChars="200"/>
        <w:rPr>
          <w:rFonts w:ascii="仿宋" w:hAnsi="仿宋" w:eastAsia="仿宋"/>
          <w:b/>
          <w:kern w:val="2"/>
          <w:sz w:val="32"/>
          <w:szCs w:val="32"/>
        </w:rPr>
      </w:pPr>
      <w:r>
        <w:rPr>
          <w:rFonts w:hint="eastAsia" w:ascii="仿宋" w:hAnsi="仿宋" w:eastAsia="仿宋"/>
          <w:b/>
          <w:kern w:val="2"/>
          <w:sz w:val="32"/>
          <w:szCs w:val="32"/>
        </w:rPr>
        <w:t>3、培育大企业，扶持中小企业</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积极培育发展大型黄金企业集团，充分发挥龙头企业的带动作用。到2025年，力争把湖南黄金集团公司旗下的辰州矿业有限责任公司、新龙矿业有限公司、黄金洞矿业有限公司以及大万矿业公司4家黄金矿山打造成为年产黄金5吨以上的大型黄金矿山企业，全省大型黄金矿山占比达到30%；积极支持隆回金杏矿业公司、常宁龙鑫矿业公司、新化玉坤矿业公司、桃源鼎盛矿业公司、醴陵正冲矿业公司等一批中小企业发展壮大，争取到“十三五”末上述企业年产黄金达到1吨以上。</w:t>
      </w:r>
    </w:p>
    <w:p>
      <w:pPr>
        <w:pStyle w:val="13"/>
        <w:widowControl w:val="0"/>
        <w:spacing w:line="600" w:lineRule="exact"/>
        <w:ind w:firstLine="643" w:firstLineChars="200"/>
        <w:rPr>
          <w:rFonts w:ascii="仿宋" w:hAnsi="仿宋" w:eastAsia="仿宋"/>
          <w:b/>
          <w:kern w:val="2"/>
          <w:sz w:val="32"/>
          <w:szCs w:val="32"/>
        </w:rPr>
      </w:pPr>
      <w:r>
        <w:rPr>
          <w:rFonts w:hint="eastAsia" w:ascii="仿宋" w:hAnsi="仿宋" w:eastAsia="仿宋"/>
          <w:b/>
          <w:kern w:val="2"/>
          <w:sz w:val="32"/>
          <w:szCs w:val="32"/>
        </w:rPr>
        <w:t>4、推动技术进步，开展重点项目建设</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坚持以企业主体，市场为导向，构建产学研合作创新体系，推动关键领域和重点环节的科技创新突破；广泛推广应用先进生产技术工艺，大力推进先进装备及配套设施建设，加快实现黄金矿山井下作业机械化、自动化、智能化；通过大规模技术改造升级，提高资源利用率、减少废弃物排放，降低采矿贫化率和生产经营成本，改善黄金矿山生产作业环境和提高安全生产保障能力；整合行业科技资源，推动骨干企业组建矿业设计科研技术中心；引导企业开展信息化建设，深入推进“两化融合”，全面提升行业企业经营管理水平。</w:t>
      </w:r>
    </w:p>
    <w:p>
      <w:pPr>
        <w:pStyle w:val="13"/>
        <w:widowControl w:val="0"/>
        <w:spacing w:line="600" w:lineRule="exact"/>
        <w:ind w:firstLine="643" w:firstLineChars="200"/>
        <w:rPr>
          <w:rFonts w:ascii="仿宋" w:hAnsi="仿宋" w:eastAsia="仿宋"/>
          <w:b/>
          <w:kern w:val="2"/>
          <w:sz w:val="32"/>
          <w:szCs w:val="32"/>
        </w:rPr>
      </w:pPr>
      <w:r>
        <w:rPr>
          <w:rFonts w:hint="eastAsia" w:ascii="仿宋" w:hAnsi="仿宋" w:eastAsia="仿宋"/>
          <w:b/>
          <w:kern w:val="2"/>
          <w:sz w:val="32"/>
          <w:szCs w:val="32"/>
        </w:rPr>
        <w:t>5、建设绿色矿山，推进“两型”发展</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推进黄金企业开展绿色矿山建设，完成辰州矿业有限责任公司、新龙矿业公司、黄金洞矿业公司3家黄金企业国家绿色矿山试点建设验收。推动和支持大万矿业公司、新化玉坤矿业公司等骨干黄金企业成为国家绿色矿山试点企业或省级绿色矿山企业。积极推广大万矿业公司数字化矿山试点建设成功经验，加快推进黄金矿山向装备自动化、系统自动化、管理信息化、监控数字化发展，实现生产效率、管理效率和资源节约利用水平全面提升。到“十三五”末，矿山开采回采率达到85%，选矿回收率达到85%，综合利用率70%以上。进一步健全安全生产标准体系，建设推广矿山井下安全避险“六大系统”，全面提升安全保障能力。突出污染防治与生态恢复并重，着重解决矿区资源综合利用和环境综合治理问题， 严格控制和管理有毒有害污染源，减少主要废弃物排放和重金属防治，加大土地复垦，加强水土保持，建设和谐绿色矿区。到2020年，行业安全生产、绿色建设、矿地共建共享取得显著成效，黄金企业对地方经济发展的贡献进一步增强。</w:t>
      </w:r>
    </w:p>
    <w:p>
      <w:pPr>
        <w:pStyle w:val="13"/>
        <w:widowControl w:val="0"/>
        <w:spacing w:line="600" w:lineRule="exact"/>
        <w:ind w:firstLine="640" w:firstLineChars="200"/>
        <w:rPr>
          <w:rFonts w:ascii="黑体" w:hAnsi="黑体" w:eastAsia="黑体"/>
          <w:kern w:val="2"/>
          <w:sz w:val="32"/>
          <w:szCs w:val="32"/>
        </w:rPr>
      </w:pPr>
      <w:r>
        <w:rPr>
          <w:rFonts w:hint="eastAsia" w:ascii="黑体" w:hAnsi="黑体" w:eastAsia="黑体"/>
          <w:kern w:val="2"/>
          <w:sz w:val="32"/>
          <w:szCs w:val="32"/>
        </w:rPr>
        <w:t>五、保障措施</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（一）加大要素保障力度</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切实落实国家和省内已出台的促进黄金行业发展的各项优惠政策，积极争取国家和省相关部门加大对黄金行业发展政策支持力度。加大行业融资平台建设，积极拓宽企业融资渠道，围绕黄金资源风险勘探、资源综合利用开发、循环经济、产品精深加工等方面加大资金投入。</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（二）创新行业管理体系</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严格落实产业发展政策，加强保护性开采矿种管理，严格执行黄金资质管理和准入制度。研究新的黄金行业管理模式，探索进一步简政放权，采用规范条件、负面清单、行业自律、企业社会责任等加强事中事后监管。强化行业经济运行监测和调度统计综合分析，遏制行业低水平重复建设，防止新增落后产能。</w:t>
      </w:r>
    </w:p>
    <w:p>
      <w:pPr>
        <w:pStyle w:val="13"/>
        <w:widowControl w:val="0"/>
        <w:spacing w:line="600" w:lineRule="exact"/>
        <w:ind w:firstLine="640" w:firstLineChars="200"/>
        <w:rPr>
          <w:rFonts w:ascii="仿宋" w:hAnsi="仿宋" w:eastAsia="仿宋"/>
          <w:kern w:val="2"/>
          <w:sz w:val="32"/>
          <w:szCs w:val="32"/>
        </w:rPr>
      </w:pP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附表1、“十三五”湖南行业重点建设项目规划表</w:t>
      </w:r>
    </w:p>
    <w:p>
      <w:pPr>
        <w:pStyle w:val="13"/>
        <w:widowControl w:val="0"/>
        <w:spacing w:line="600" w:lineRule="exact"/>
        <w:ind w:firstLine="640" w:firstLineChars="200"/>
        <w:rPr>
          <w:rFonts w:ascii="仿宋" w:hAnsi="仿宋" w:eastAsia="仿宋"/>
          <w:kern w:val="2"/>
          <w:sz w:val="32"/>
          <w:szCs w:val="32"/>
        </w:rPr>
      </w:pPr>
      <w:r>
        <w:rPr>
          <w:rFonts w:hint="eastAsia" w:ascii="仿宋" w:hAnsi="仿宋" w:eastAsia="仿宋"/>
          <w:kern w:val="2"/>
          <w:sz w:val="32"/>
          <w:szCs w:val="32"/>
        </w:rPr>
        <w:t>附表2、湖南黄金“十三五”地质探矿重点勘察项目规划表</w:t>
      </w:r>
    </w:p>
    <w:p>
      <w:pPr>
        <w:pStyle w:val="13"/>
        <w:widowControl w:val="0"/>
        <w:spacing w:line="600" w:lineRule="exact"/>
        <w:ind w:firstLine="640" w:firstLineChars="200"/>
        <w:rPr>
          <w:rFonts w:ascii="仿宋" w:hAnsi="仿宋" w:eastAsia="仿宋"/>
          <w:kern w:val="2"/>
          <w:sz w:val="32"/>
          <w:szCs w:val="32"/>
        </w:rPr>
        <w:sectPr>
          <w:headerReference r:id="rId3" w:type="default"/>
          <w:footerReference r:id="rId4" w:type="default"/>
          <w:footerReference r:id="rId5" w:type="even"/>
          <w:pgSz w:w="11906" w:h="16838"/>
          <w:pgMar w:top="2098" w:right="1247" w:bottom="1418" w:left="1588" w:header="964" w:footer="1247" w:gutter="0"/>
          <w:cols w:space="720" w:num="1"/>
          <w:titlePg/>
          <w:docGrid w:type="lines" w:linePitch="312" w:charSpace="0"/>
        </w:sectPr>
      </w:pPr>
      <w:r>
        <w:rPr>
          <w:rFonts w:hint="eastAsia" w:ascii="仿宋" w:hAnsi="仿宋" w:eastAsia="仿宋"/>
          <w:kern w:val="2"/>
          <w:sz w:val="32"/>
          <w:szCs w:val="32"/>
        </w:rPr>
        <w:t>附表3、湖南黄金“十三五”科技创新重点项目规划表</w:t>
      </w:r>
    </w:p>
    <w:p>
      <w:pPr>
        <w:pStyle w:val="13"/>
        <w:spacing w:line="600" w:lineRule="exact"/>
        <w:rPr>
          <w:rFonts w:ascii="黑体" w:hAnsi="黑体" w:eastAsia="黑体"/>
          <w:kern w:val="2"/>
          <w:sz w:val="32"/>
          <w:szCs w:val="32"/>
        </w:rPr>
      </w:pPr>
      <w:r>
        <w:rPr>
          <w:rFonts w:hint="eastAsia" w:ascii="黑体" w:hAnsi="黑体" w:eastAsia="黑体"/>
          <w:kern w:val="2"/>
          <w:sz w:val="32"/>
          <w:szCs w:val="32"/>
        </w:rPr>
        <w:t>附表1</w:t>
      </w:r>
    </w:p>
    <w:p>
      <w:pPr>
        <w:pStyle w:val="13"/>
        <w:spacing w:line="600" w:lineRule="exact"/>
        <w:rPr>
          <w:rFonts w:ascii="仿宋" w:hAnsi="仿宋" w:eastAsia="仿宋"/>
          <w:kern w:val="2"/>
          <w:sz w:val="32"/>
          <w:szCs w:val="32"/>
        </w:rPr>
      </w:pPr>
    </w:p>
    <w:p>
      <w:pPr>
        <w:pStyle w:val="13"/>
        <w:spacing w:line="600" w:lineRule="exact"/>
        <w:jc w:val="center"/>
        <w:rPr>
          <w:rFonts w:ascii="仿宋" w:hAnsi="仿宋" w:eastAsia="仿宋"/>
          <w:kern w:val="2"/>
          <w:sz w:val="44"/>
          <w:szCs w:val="44"/>
        </w:rPr>
      </w:pPr>
      <w:r>
        <w:rPr>
          <w:rFonts w:hint="eastAsia" w:ascii="仿宋" w:hAnsi="仿宋" w:eastAsia="仿宋"/>
          <w:kern w:val="2"/>
          <w:sz w:val="44"/>
          <w:szCs w:val="44"/>
        </w:rPr>
        <w:t>湖南黄金“十三五”重点建设项目规划表</w:t>
      </w:r>
    </w:p>
    <w:p>
      <w:pPr>
        <w:pStyle w:val="13"/>
        <w:spacing w:line="600" w:lineRule="exact"/>
        <w:ind w:firstLine="640" w:firstLineChars="200"/>
        <w:jc w:val="right"/>
        <w:rPr>
          <w:rFonts w:ascii="仿宋" w:hAnsi="仿宋" w:eastAsia="仿宋"/>
          <w:kern w:val="2"/>
          <w:sz w:val="32"/>
          <w:szCs w:val="32"/>
        </w:rPr>
      </w:pPr>
      <w:r>
        <w:rPr>
          <w:rFonts w:hint="eastAsia" w:ascii="仿宋" w:hAnsi="仿宋" w:eastAsia="仿宋"/>
          <w:kern w:val="2"/>
          <w:sz w:val="32"/>
          <w:szCs w:val="32"/>
        </w:rPr>
        <w:t>单位：万元</w:t>
      </w:r>
    </w:p>
    <w:tbl>
      <w:tblPr>
        <w:tblStyle w:val="8"/>
        <w:tblW w:w="13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3780"/>
        <w:gridCol w:w="4307"/>
        <w:gridCol w:w="1238"/>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2172" w:type="dxa"/>
            <w:vAlign w:val="center"/>
          </w:tcPr>
          <w:p>
            <w:pPr>
              <w:spacing w:line="300" w:lineRule="exact"/>
              <w:jc w:val="center"/>
              <w:rPr>
                <w:rFonts w:ascii="仿宋" w:hAnsi="仿宋" w:eastAsia="仿宋"/>
                <w:sz w:val="24"/>
              </w:rPr>
            </w:pPr>
            <w:r>
              <w:rPr>
                <w:rFonts w:hint="eastAsia" w:ascii="仿宋" w:hAnsi="仿宋" w:eastAsia="仿宋"/>
                <w:sz w:val="24"/>
              </w:rPr>
              <w:t>企业名称</w:t>
            </w:r>
          </w:p>
        </w:tc>
        <w:tc>
          <w:tcPr>
            <w:tcW w:w="3780" w:type="dxa"/>
            <w:vAlign w:val="center"/>
          </w:tcPr>
          <w:p>
            <w:pPr>
              <w:spacing w:line="300" w:lineRule="exact"/>
              <w:jc w:val="center"/>
              <w:rPr>
                <w:rFonts w:ascii="仿宋" w:hAnsi="仿宋" w:eastAsia="仿宋"/>
                <w:sz w:val="24"/>
              </w:rPr>
            </w:pPr>
            <w:r>
              <w:rPr>
                <w:rFonts w:hint="eastAsia" w:ascii="仿宋" w:hAnsi="仿宋" w:eastAsia="仿宋"/>
                <w:sz w:val="24"/>
              </w:rPr>
              <w:t>项目名称</w:t>
            </w:r>
          </w:p>
        </w:tc>
        <w:tc>
          <w:tcPr>
            <w:tcW w:w="4307" w:type="dxa"/>
            <w:vAlign w:val="center"/>
          </w:tcPr>
          <w:p>
            <w:pPr>
              <w:spacing w:line="300" w:lineRule="exact"/>
              <w:jc w:val="center"/>
              <w:rPr>
                <w:rFonts w:ascii="仿宋" w:hAnsi="仿宋" w:eastAsia="仿宋"/>
                <w:sz w:val="24"/>
              </w:rPr>
            </w:pPr>
            <w:r>
              <w:rPr>
                <w:rFonts w:hint="eastAsia" w:ascii="仿宋" w:hAnsi="仿宋" w:eastAsia="仿宋"/>
                <w:sz w:val="24"/>
              </w:rPr>
              <w:t>项目内容</w:t>
            </w:r>
          </w:p>
        </w:tc>
        <w:tc>
          <w:tcPr>
            <w:tcW w:w="1238" w:type="dxa"/>
            <w:vAlign w:val="center"/>
          </w:tcPr>
          <w:p>
            <w:pPr>
              <w:spacing w:line="300" w:lineRule="exact"/>
              <w:jc w:val="center"/>
              <w:rPr>
                <w:rFonts w:ascii="仿宋" w:hAnsi="仿宋" w:eastAsia="仿宋"/>
                <w:sz w:val="24"/>
              </w:rPr>
            </w:pPr>
            <w:r>
              <w:rPr>
                <w:rFonts w:hint="eastAsia" w:ascii="仿宋" w:hAnsi="仿宋" w:eastAsia="仿宋"/>
                <w:sz w:val="24"/>
              </w:rPr>
              <w:t>起始时间</w:t>
            </w:r>
          </w:p>
        </w:tc>
        <w:tc>
          <w:tcPr>
            <w:tcW w:w="1239" w:type="dxa"/>
            <w:vAlign w:val="center"/>
          </w:tcPr>
          <w:p>
            <w:pPr>
              <w:spacing w:line="300" w:lineRule="exact"/>
              <w:jc w:val="center"/>
              <w:rPr>
                <w:rFonts w:ascii="仿宋" w:hAnsi="仿宋" w:eastAsia="仿宋"/>
                <w:sz w:val="24"/>
              </w:rPr>
            </w:pPr>
            <w:r>
              <w:rPr>
                <w:rFonts w:hint="eastAsia" w:ascii="仿宋" w:hAnsi="仿宋" w:eastAsia="仿宋"/>
                <w:sz w:val="24"/>
              </w:rPr>
              <w:t>完成时间</w:t>
            </w:r>
          </w:p>
        </w:tc>
        <w:tc>
          <w:tcPr>
            <w:tcW w:w="1239" w:type="dxa"/>
            <w:vAlign w:val="center"/>
          </w:tcPr>
          <w:p>
            <w:pPr>
              <w:spacing w:line="300" w:lineRule="exact"/>
              <w:jc w:val="center"/>
              <w:rPr>
                <w:rFonts w:ascii="仿宋" w:hAnsi="仿宋" w:eastAsia="仿宋"/>
                <w:sz w:val="24"/>
              </w:rPr>
            </w:pPr>
            <w:r>
              <w:rPr>
                <w:rFonts w:hint="eastAsia" w:ascii="仿宋" w:hAnsi="仿宋" w:eastAsia="仿宋"/>
                <w:sz w:val="24"/>
              </w:rPr>
              <w:t>计划投资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Align w:val="center"/>
          </w:tcPr>
          <w:p>
            <w:pPr>
              <w:spacing w:line="300" w:lineRule="exact"/>
              <w:jc w:val="center"/>
              <w:rPr>
                <w:rFonts w:ascii="仿宋" w:hAnsi="仿宋" w:eastAsia="仿宋"/>
                <w:b/>
                <w:sz w:val="24"/>
              </w:rPr>
            </w:pPr>
            <w:r>
              <w:rPr>
                <w:rFonts w:ascii="仿宋" w:hAnsi="仿宋" w:eastAsia="仿宋"/>
                <w:bCs/>
                <w:sz w:val="24"/>
              </w:rPr>
              <w:t>全省</w:t>
            </w:r>
          </w:p>
        </w:tc>
        <w:tc>
          <w:tcPr>
            <w:tcW w:w="3780" w:type="dxa"/>
            <w:vAlign w:val="center"/>
          </w:tcPr>
          <w:p>
            <w:pPr>
              <w:spacing w:line="300" w:lineRule="exact"/>
              <w:jc w:val="center"/>
              <w:rPr>
                <w:rFonts w:ascii="仿宋" w:hAnsi="仿宋" w:eastAsia="仿宋"/>
                <w:sz w:val="24"/>
              </w:rPr>
            </w:pPr>
            <w:r>
              <w:rPr>
                <w:rFonts w:ascii="仿宋" w:hAnsi="仿宋" w:eastAsia="仿宋"/>
                <w:sz w:val="24"/>
              </w:rPr>
              <w:t>合计</w:t>
            </w:r>
          </w:p>
        </w:tc>
        <w:tc>
          <w:tcPr>
            <w:tcW w:w="4307" w:type="dxa"/>
            <w:vAlign w:val="center"/>
          </w:tcPr>
          <w:p>
            <w:pPr>
              <w:spacing w:line="300" w:lineRule="exact"/>
              <w:jc w:val="center"/>
              <w:rPr>
                <w:rFonts w:ascii="仿宋" w:hAnsi="仿宋" w:eastAsia="仿宋"/>
                <w:b/>
                <w:sz w:val="24"/>
              </w:rPr>
            </w:pPr>
          </w:p>
        </w:tc>
        <w:tc>
          <w:tcPr>
            <w:tcW w:w="1238" w:type="dxa"/>
            <w:vAlign w:val="center"/>
          </w:tcPr>
          <w:p>
            <w:pPr>
              <w:spacing w:line="300" w:lineRule="exact"/>
              <w:jc w:val="center"/>
              <w:rPr>
                <w:rFonts w:ascii="仿宋" w:hAnsi="仿宋" w:eastAsia="仿宋"/>
                <w:b/>
                <w:sz w:val="24"/>
              </w:rPr>
            </w:pPr>
          </w:p>
        </w:tc>
        <w:tc>
          <w:tcPr>
            <w:tcW w:w="1239" w:type="dxa"/>
            <w:vAlign w:val="center"/>
          </w:tcPr>
          <w:p>
            <w:pPr>
              <w:spacing w:line="300" w:lineRule="exact"/>
              <w:jc w:val="center"/>
              <w:rPr>
                <w:rFonts w:ascii="仿宋" w:hAnsi="仿宋" w:eastAsia="仿宋"/>
                <w:b/>
                <w:sz w:val="24"/>
              </w:rPr>
            </w:pPr>
          </w:p>
        </w:tc>
        <w:tc>
          <w:tcPr>
            <w:tcW w:w="1239" w:type="dxa"/>
            <w:vAlign w:val="center"/>
          </w:tcPr>
          <w:p>
            <w:pPr>
              <w:spacing w:line="300" w:lineRule="exact"/>
              <w:jc w:val="center"/>
              <w:rPr>
                <w:rFonts w:ascii="仿宋" w:hAnsi="仿宋" w:eastAsia="仿宋"/>
                <w:sz w:val="24"/>
              </w:rPr>
            </w:pPr>
            <w:r>
              <w:rPr>
                <w:rFonts w:ascii="仿宋" w:hAnsi="仿宋" w:eastAsia="仿宋"/>
                <w:sz w:val="24"/>
              </w:rPr>
              <w:t>646230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Merge w:val="restart"/>
            <w:vAlign w:val="center"/>
          </w:tcPr>
          <w:p>
            <w:pPr>
              <w:spacing w:line="300" w:lineRule="exact"/>
              <w:rPr>
                <w:rFonts w:ascii="仿宋" w:hAnsi="仿宋" w:eastAsia="仿宋"/>
                <w:sz w:val="24"/>
              </w:rPr>
            </w:pPr>
            <w:r>
              <w:rPr>
                <w:rFonts w:ascii="仿宋" w:hAnsi="仿宋" w:eastAsia="仿宋"/>
                <w:sz w:val="24"/>
              </w:rPr>
              <w:t>湖南黄金集团有限责任公司</w:t>
            </w:r>
          </w:p>
        </w:tc>
        <w:tc>
          <w:tcPr>
            <w:tcW w:w="3780" w:type="dxa"/>
            <w:vAlign w:val="center"/>
          </w:tcPr>
          <w:p>
            <w:pPr>
              <w:spacing w:line="300" w:lineRule="exact"/>
              <w:rPr>
                <w:rFonts w:ascii="仿宋" w:hAnsi="仿宋" w:eastAsia="仿宋"/>
                <w:sz w:val="24"/>
              </w:rPr>
            </w:pPr>
            <w:r>
              <w:rPr>
                <w:rFonts w:ascii="仿宋" w:hAnsi="仿宋" w:eastAsia="仿宋"/>
                <w:sz w:val="24"/>
              </w:rPr>
              <w:t>1、</w:t>
            </w:r>
            <w:r>
              <w:rPr>
                <w:rFonts w:ascii="仿宋" w:hAnsi="仿宋" w:eastAsia="仿宋"/>
                <w:color w:val="000000"/>
                <w:kern w:val="0"/>
                <w:sz w:val="24"/>
              </w:rPr>
              <w:t>100吨/年黄金精炼加工厂建设项目</w:t>
            </w:r>
          </w:p>
        </w:tc>
        <w:tc>
          <w:tcPr>
            <w:tcW w:w="4307" w:type="dxa"/>
            <w:vAlign w:val="center"/>
          </w:tcPr>
          <w:p>
            <w:pPr>
              <w:spacing w:line="300" w:lineRule="exact"/>
              <w:rPr>
                <w:rFonts w:ascii="仿宋" w:hAnsi="仿宋" w:eastAsia="仿宋"/>
                <w:sz w:val="24"/>
              </w:rPr>
            </w:pPr>
            <w:r>
              <w:rPr>
                <w:rFonts w:ascii="仿宋" w:hAnsi="仿宋" w:eastAsia="仿宋"/>
                <w:color w:val="000000"/>
                <w:kern w:val="0"/>
                <w:sz w:val="24"/>
              </w:rPr>
              <w:t>新建一家黄金精炼厂，年精炼能力100吨、黄金深加工能力10吨。</w:t>
            </w:r>
          </w:p>
        </w:tc>
        <w:tc>
          <w:tcPr>
            <w:tcW w:w="1238" w:type="dxa"/>
            <w:vAlign w:val="center"/>
          </w:tcPr>
          <w:p>
            <w:pPr>
              <w:spacing w:line="300" w:lineRule="exact"/>
              <w:jc w:val="center"/>
              <w:rPr>
                <w:rFonts w:ascii="仿宋" w:hAnsi="仿宋" w:eastAsia="仿宋"/>
                <w:sz w:val="24"/>
              </w:rPr>
            </w:pPr>
            <w:r>
              <w:rPr>
                <w:rFonts w:ascii="仿宋" w:hAnsi="仿宋" w:eastAsia="仿宋"/>
                <w:sz w:val="24"/>
              </w:rPr>
              <w:t>2015年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2018年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Merge w:val="continue"/>
            <w:vAlign w:val="center"/>
          </w:tcPr>
          <w:p>
            <w:pPr>
              <w:spacing w:line="300" w:lineRule="exact"/>
              <w:rPr>
                <w:rFonts w:ascii="仿宋" w:hAnsi="仿宋" w:eastAsia="仿宋"/>
                <w:b/>
                <w:sz w:val="24"/>
              </w:rPr>
            </w:pPr>
          </w:p>
        </w:tc>
        <w:tc>
          <w:tcPr>
            <w:tcW w:w="3780" w:type="dxa"/>
            <w:vAlign w:val="center"/>
          </w:tcPr>
          <w:p>
            <w:pPr>
              <w:spacing w:line="300" w:lineRule="exact"/>
              <w:rPr>
                <w:rFonts w:ascii="仿宋" w:hAnsi="仿宋" w:eastAsia="仿宋"/>
                <w:sz w:val="24"/>
              </w:rPr>
            </w:pPr>
            <w:r>
              <w:rPr>
                <w:rFonts w:ascii="仿宋" w:hAnsi="仿宋" w:eastAsia="仿宋"/>
                <w:sz w:val="24"/>
              </w:rPr>
              <w:t>2、</w:t>
            </w:r>
            <w:r>
              <w:rPr>
                <w:rFonts w:ascii="仿宋" w:hAnsi="仿宋" w:eastAsia="仿宋"/>
                <w:color w:val="000000"/>
                <w:kern w:val="0"/>
                <w:sz w:val="24"/>
              </w:rPr>
              <w:t>有色金属冶炼厂组建项目</w:t>
            </w:r>
          </w:p>
        </w:tc>
        <w:tc>
          <w:tcPr>
            <w:tcW w:w="4307" w:type="dxa"/>
            <w:vAlign w:val="center"/>
          </w:tcPr>
          <w:p>
            <w:pPr>
              <w:spacing w:line="300" w:lineRule="exact"/>
              <w:rPr>
                <w:rFonts w:ascii="仿宋" w:hAnsi="仿宋" w:eastAsia="仿宋"/>
                <w:sz w:val="24"/>
              </w:rPr>
            </w:pPr>
            <w:r>
              <w:rPr>
                <w:rFonts w:ascii="仿宋" w:hAnsi="仿宋" w:eastAsia="仿宋"/>
                <w:color w:val="000000"/>
                <w:kern w:val="0"/>
                <w:sz w:val="24"/>
              </w:rPr>
              <w:t>通过兼并重组或投资建设一家有色金属冶炼加工企业。</w:t>
            </w:r>
          </w:p>
        </w:tc>
        <w:tc>
          <w:tcPr>
            <w:tcW w:w="1238" w:type="dxa"/>
            <w:vAlign w:val="center"/>
          </w:tcPr>
          <w:p>
            <w:pPr>
              <w:spacing w:line="300" w:lineRule="exact"/>
              <w:jc w:val="center"/>
              <w:rPr>
                <w:rFonts w:ascii="仿宋" w:hAnsi="仿宋" w:eastAsia="仿宋"/>
                <w:sz w:val="24"/>
              </w:rPr>
            </w:pPr>
            <w:r>
              <w:rPr>
                <w:rFonts w:ascii="仿宋" w:hAnsi="仿宋" w:eastAsia="仿宋"/>
                <w:sz w:val="24"/>
              </w:rPr>
              <w:t>2016年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2018年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Merge w:val="restart"/>
            <w:vAlign w:val="center"/>
          </w:tcPr>
          <w:p>
            <w:pPr>
              <w:spacing w:line="300" w:lineRule="exact"/>
              <w:rPr>
                <w:rFonts w:ascii="仿宋" w:hAnsi="仿宋" w:eastAsia="仿宋"/>
                <w:sz w:val="24"/>
              </w:rPr>
            </w:pPr>
            <w:r>
              <w:rPr>
                <w:rFonts w:ascii="仿宋" w:hAnsi="仿宋" w:eastAsia="仿宋"/>
                <w:sz w:val="24"/>
              </w:rPr>
              <w:t>辰州矿业有限责任公司</w:t>
            </w:r>
          </w:p>
          <w:p>
            <w:pPr>
              <w:spacing w:line="300" w:lineRule="exact"/>
              <w:rPr>
                <w:rFonts w:ascii="仿宋" w:hAnsi="仿宋" w:eastAsia="仿宋"/>
                <w:sz w:val="24"/>
              </w:rPr>
            </w:pPr>
          </w:p>
        </w:tc>
        <w:tc>
          <w:tcPr>
            <w:tcW w:w="3780" w:type="dxa"/>
            <w:vAlign w:val="center"/>
          </w:tcPr>
          <w:p>
            <w:pPr>
              <w:spacing w:line="300" w:lineRule="exact"/>
              <w:rPr>
                <w:rFonts w:ascii="仿宋" w:hAnsi="仿宋" w:eastAsia="仿宋"/>
                <w:sz w:val="24"/>
              </w:rPr>
            </w:pPr>
            <w:r>
              <w:rPr>
                <w:rFonts w:ascii="仿宋" w:hAnsi="仿宋" w:eastAsia="仿宋"/>
                <w:sz w:val="24"/>
              </w:rPr>
              <w:t>3、沃溪坑口技术改造及四期开拓建设工程</w:t>
            </w:r>
          </w:p>
        </w:tc>
        <w:tc>
          <w:tcPr>
            <w:tcW w:w="4307" w:type="dxa"/>
            <w:vAlign w:val="center"/>
          </w:tcPr>
          <w:p>
            <w:pPr>
              <w:spacing w:line="300" w:lineRule="exact"/>
              <w:rPr>
                <w:rFonts w:ascii="仿宋" w:hAnsi="仿宋" w:eastAsia="仿宋"/>
                <w:sz w:val="24"/>
              </w:rPr>
            </w:pPr>
            <w:r>
              <w:rPr>
                <w:rFonts w:ascii="仿宋" w:hAnsi="仿宋" w:eastAsia="仿宋"/>
                <w:sz w:val="24"/>
              </w:rPr>
              <w:t>2号明竖井及竖井联络道建设与配套设备、工业广场等设施。</w:t>
            </w:r>
          </w:p>
        </w:tc>
        <w:tc>
          <w:tcPr>
            <w:tcW w:w="1238" w:type="dxa"/>
            <w:vAlign w:val="center"/>
          </w:tcPr>
          <w:p>
            <w:pPr>
              <w:spacing w:line="300" w:lineRule="exact"/>
              <w:jc w:val="center"/>
              <w:rPr>
                <w:rFonts w:ascii="仿宋" w:hAnsi="仿宋" w:eastAsia="仿宋"/>
                <w:sz w:val="24"/>
              </w:rPr>
            </w:pPr>
            <w:r>
              <w:rPr>
                <w:rFonts w:ascii="仿宋" w:hAnsi="仿宋" w:eastAsia="仿宋"/>
                <w:sz w:val="24"/>
              </w:rPr>
              <w:t>2013年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2018年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Merge w:val="continue"/>
            <w:vAlign w:val="center"/>
          </w:tcPr>
          <w:p>
            <w:pPr>
              <w:spacing w:line="300" w:lineRule="exact"/>
              <w:rPr>
                <w:rFonts w:ascii="仿宋" w:hAnsi="仿宋" w:eastAsia="仿宋"/>
                <w:sz w:val="24"/>
              </w:rPr>
            </w:pPr>
          </w:p>
        </w:tc>
        <w:tc>
          <w:tcPr>
            <w:tcW w:w="3780" w:type="dxa"/>
            <w:vAlign w:val="center"/>
          </w:tcPr>
          <w:p>
            <w:pPr>
              <w:spacing w:line="300" w:lineRule="exact"/>
              <w:rPr>
                <w:rFonts w:ascii="仿宋" w:hAnsi="仿宋" w:eastAsia="仿宋"/>
                <w:sz w:val="24"/>
              </w:rPr>
            </w:pPr>
            <w:r>
              <w:rPr>
                <w:rFonts w:ascii="仿宋" w:hAnsi="仿宋" w:eastAsia="仿宋"/>
                <w:sz w:val="24"/>
              </w:rPr>
              <w:t>4、鱼儿山坑口6号脉开拓井建设工程</w:t>
            </w:r>
          </w:p>
        </w:tc>
        <w:tc>
          <w:tcPr>
            <w:tcW w:w="4307" w:type="dxa"/>
            <w:vAlign w:val="center"/>
          </w:tcPr>
          <w:p>
            <w:pPr>
              <w:spacing w:line="300" w:lineRule="exact"/>
              <w:rPr>
                <w:rFonts w:ascii="仿宋" w:hAnsi="仿宋" w:eastAsia="仿宋"/>
                <w:sz w:val="24"/>
              </w:rPr>
            </w:pPr>
            <w:r>
              <w:rPr>
                <w:rFonts w:ascii="仿宋" w:hAnsi="仿宋" w:eastAsia="仿宋"/>
                <w:sz w:val="24"/>
              </w:rPr>
              <w:t>鱼儿山坑口6号脉开拓探矿斜井联络道建设。</w:t>
            </w:r>
          </w:p>
        </w:tc>
        <w:tc>
          <w:tcPr>
            <w:tcW w:w="1238" w:type="dxa"/>
            <w:vAlign w:val="center"/>
          </w:tcPr>
          <w:p>
            <w:pPr>
              <w:spacing w:line="300" w:lineRule="exact"/>
              <w:jc w:val="center"/>
              <w:rPr>
                <w:rFonts w:ascii="仿宋" w:hAnsi="仿宋" w:eastAsia="仿宋"/>
                <w:sz w:val="24"/>
              </w:rPr>
            </w:pPr>
            <w:r>
              <w:rPr>
                <w:rFonts w:ascii="仿宋" w:hAnsi="仿宋" w:eastAsia="仿宋"/>
                <w:sz w:val="24"/>
              </w:rPr>
              <w:t>2016年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2018年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Merge w:val="continue"/>
            <w:vAlign w:val="center"/>
          </w:tcPr>
          <w:p>
            <w:pPr>
              <w:spacing w:line="300" w:lineRule="exact"/>
              <w:rPr>
                <w:rFonts w:ascii="仿宋" w:hAnsi="仿宋" w:eastAsia="仿宋"/>
                <w:sz w:val="24"/>
              </w:rPr>
            </w:pPr>
          </w:p>
        </w:tc>
        <w:tc>
          <w:tcPr>
            <w:tcW w:w="3780" w:type="dxa"/>
            <w:vAlign w:val="center"/>
          </w:tcPr>
          <w:p>
            <w:pPr>
              <w:spacing w:line="300" w:lineRule="exact"/>
              <w:rPr>
                <w:rFonts w:ascii="仿宋" w:hAnsi="仿宋" w:eastAsia="仿宋"/>
                <w:sz w:val="24"/>
              </w:rPr>
            </w:pPr>
            <w:r>
              <w:rPr>
                <w:rFonts w:ascii="仿宋" w:hAnsi="仿宋" w:eastAsia="仿宋"/>
                <w:sz w:val="24"/>
              </w:rPr>
              <w:t>5、辰州甘肃公司采选规模改扩建工程</w:t>
            </w:r>
          </w:p>
        </w:tc>
        <w:tc>
          <w:tcPr>
            <w:tcW w:w="4307" w:type="dxa"/>
            <w:vAlign w:val="center"/>
          </w:tcPr>
          <w:p>
            <w:pPr>
              <w:spacing w:line="300" w:lineRule="exact"/>
              <w:rPr>
                <w:rFonts w:ascii="仿宋" w:hAnsi="仿宋" w:eastAsia="仿宋"/>
                <w:sz w:val="24"/>
              </w:rPr>
            </w:pPr>
            <w:r>
              <w:rPr>
                <w:rFonts w:ascii="仿宋" w:hAnsi="仿宋" w:eastAsia="仿宋"/>
                <w:sz w:val="24"/>
              </w:rPr>
              <w:t>原选厂扩建、加鑫新选厂建设、加鑫新尾矿库建设。</w:t>
            </w:r>
          </w:p>
        </w:tc>
        <w:tc>
          <w:tcPr>
            <w:tcW w:w="1238" w:type="dxa"/>
            <w:vAlign w:val="center"/>
          </w:tcPr>
          <w:p>
            <w:pPr>
              <w:spacing w:line="300" w:lineRule="exact"/>
              <w:jc w:val="center"/>
              <w:rPr>
                <w:rFonts w:ascii="仿宋" w:hAnsi="仿宋" w:eastAsia="仿宋"/>
                <w:sz w:val="24"/>
              </w:rPr>
            </w:pPr>
            <w:r>
              <w:rPr>
                <w:rFonts w:ascii="仿宋" w:hAnsi="仿宋" w:eastAsia="仿宋"/>
                <w:sz w:val="24"/>
              </w:rPr>
              <w:t>2016年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2020年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Merge w:val="continue"/>
            <w:vAlign w:val="center"/>
          </w:tcPr>
          <w:p>
            <w:pPr>
              <w:spacing w:line="300" w:lineRule="exact"/>
              <w:rPr>
                <w:rFonts w:ascii="仿宋" w:hAnsi="仿宋" w:eastAsia="仿宋"/>
                <w:sz w:val="24"/>
              </w:rPr>
            </w:pPr>
          </w:p>
        </w:tc>
        <w:tc>
          <w:tcPr>
            <w:tcW w:w="3780" w:type="dxa"/>
            <w:vAlign w:val="center"/>
          </w:tcPr>
          <w:p>
            <w:pPr>
              <w:spacing w:line="300" w:lineRule="exact"/>
              <w:rPr>
                <w:rFonts w:ascii="仿宋" w:hAnsi="仿宋" w:eastAsia="仿宋"/>
                <w:sz w:val="24"/>
              </w:rPr>
            </w:pPr>
            <w:r>
              <w:rPr>
                <w:rFonts w:ascii="仿宋" w:hAnsi="仿宋" w:eastAsia="仿宋"/>
                <w:sz w:val="24"/>
              </w:rPr>
              <w:t>6、安化渣滓溪现有采选冶规模扩建工程</w:t>
            </w:r>
          </w:p>
        </w:tc>
        <w:tc>
          <w:tcPr>
            <w:tcW w:w="4307" w:type="dxa"/>
            <w:vAlign w:val="center"/>
          </w:tcPr>
          <w:p>
            <w:pPr>
              <w:spacing w:line="300" w:lineRule="exact"/>
              <w:rPr>
                <w:rFonts w:ascii="仿宋" w:hAnsi="仿宋" w:eastAsia="仿宋"/>
                <w:sz w:val="24"/>
              </w:rPr>
            </w:pPr>
            <w:r>
              <w:rPr>
                <w:rFonts w:ascii="仿宋" w:hAnsi="仿宋" w:eastAsia="仿宋"/>
                <w:sz w:val="24"/>
              </w:rPr>
              <w:t>5000吨/年精锑采、选、冶扩建及相关配套设施。</w:t>
            </w:r>
          </w:p>
        </w:tc>
        <w:tc>
          <w:tcPr>
            <w:tcW w:w="1238" w:type="dxa"/>
            <w:vAlign w:val="center"/>
          </w:tcPr>
          <w:p>
            <w:pPr>
              <w:spacing w:line="300" w:lineRule="exact"/>
              <w:jc w:val="center"/>
              <w:rPr>
                <w:rFonts w:ascii="仿宋" w:hAnsi="仿宋" w:eastAsia="仿宋"/>
                <w:sz w:val="24"/>
              </w:rPr>
            </w:pPr>
            <w:r>
              <w:rPr>
                <w:rFonts w:ascii="仿宋" w:hAnsi="仿宋" w:eastAsia="仿宋"/>
                <w:sz w:val="24"/>
              </w:rPr>
              <w:t>2016年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2020年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Merge w:val="continue"/>
            <w:vAlign w:val="center"/>
          </w:tcPr>
          <w:p>
            <w:pPr>
              <w:spacing w:line="300" w:lineRule="exact"/>
              <w:rPr>
                <w:rFonts w:ascii="仿宋" w:hAnsi="仿宋" w:eastAsia="仿宋"/>
                <w:sz w:val="24"/>
              </w:rPr>
            </w:pPr>
          </w:p>
        </w:tc>
        <w:tc>
          <w:tcPr>
            <w:tcW w:w="3780" w:type="dxa"/>
            <w:vAlign w:val="center"/>
          </w:tcPr>
          <w:p>
            <w:pPr>
              <w:spacing w:line="300" w:lineRule="exact"/>
              <w:rPr>
                <w:rFonts w:ascii="仿宋" w:hAnsi="仿宋" w:eastAsia="仿宋"/>
                <w:sz w:val="24"/>
              </w:rPr>
            </w:pPr>
            <w:r>
              <w:rPr>
                <w:rFonts w:ascii="仿宋" w:hAnsi="仿宋" w:eastAsia="仿宋"/>
                <w:sz w:val="24"/>
              </w:rPr>
              <w:t>7、湖北潘隆现有采选规模扩建工程</w:t>
            </w:r>
          </w:p>
        </w:tc>
        <w:tc>
          <w:tcPr>
            <w:tcW w:w="4307" w:type="dxa"/>
            <w:vAlign w:val="center"/>
          </w:tcPr>
          <w:p>
            <w:pPr>
              <w:spacing w:line="300" w:lineRule="exact"/>
              <w:rPr>
                <w:rFonts w:ascii="仿宋" w:hAnsi="仿宋" w:eastAsia="仿宋"/>
                <w:sz w:val="24"/>
              </w:rPr>
            </w:pPr>
            <w:r>
              <w:rPr>
                <w:rFonts w:ascii="仿宋" w:hAnsi="仿宋" w:eastAsia="仿宋"/>
                <w:sz w:val="24"/>
              </w:rPr>
              <w:t>湖北潘隆1000吨/日采选扩建及相关配套设施。</w:t>
            </w:r>
          </w:p>
        </w:tc>
        <w:tc>
          <w:tcPr>
            <w:tcW w:w="1238" w:type="dxa"/>
            <w:vAlign w:val="center"/>
          </w:tcPr>
          <w:p>
            <w:pPr>
              <w:spacing w:line="300" w:lineRule="exact"/>
              <w:jc w:val="center"/>
              <w:rPr>
                <w:rFonts w:ascii="仿宋" w:hAnsi="仿宋" w:eastAsia="仿宋"/>
                <w:sz w:val="24"/>
              </w:rPr>
            </w:pPr>
            <w:r>
              <w:rPr>
                <w:rFonts w:ascii="仿宋" w:hAnsi="仿宋" w:eastAsia="仿宋"/>
                <w:sz w:val="24"/>
              </w:rPr>
              <w:t>2016年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2020年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Merge w:val="continue"/>
            <w:vAlign w:val="center"/>
          </w:tcPr>
          <w:p>
            <w:pPr>
              <w:spacing w:line="300" w:lineRule="exact"/>
              <w:rPr>
                <w:rFonts w:ascii="仿宋" w:hAnsi="仿宋" w:eastAsia="仿宋"/>
                <w:sz w:val="24"/>
              </w:rPr>
            </w:pPr>
          </w:p>
        </w:tc>
        <w:tc>
          <w:tcPr>
            <w:tcW w:w="3780" w:type="dxa"/>
            <w:vAlign w:val="center"/>
          </w:tcPr>
          <w:p>
            <w:pPr>
              <w:spacing w:line="300" w:lineRule="exact"/>
              <w:rPr>
                <w:rFonts w:ascii="仿宋" w:hAnsi="仿宋" w:eastAsia="仿宋"/>
                <w:sz w:val="24"/>
              </w:rPr>
            </w:pPr>
            <w:r>
              <w:rPr>
                <w:rFonts w:ascii="仿宋" w:hAnsi="仿宋" w:eastAsia="仿宋"/>
                <w:sz w:val="24"/>
              </w:rPr>
              <w:t>8、生产调度中心建设工程</w:t>
            </w:r>
          </w:p>
        </w:tc>
        <w:tc>
          <w:tcPr>
            <w:tcW w:w="4307" w:type="dxa"/>
            <w:vAlign w:val="center"/>
          </w:tcPr>
          <w:p>
            <w:pPr>
              <w:spacing w:line="300" w:lineRule="exact"/>
              <w:rPr>
                <w:rFonts w:ascii="仿宋" w:hAnsi="仿宋" w:eastAsia="仿宋"/>
                <w:sz w:val="24"/>
              </w:rPr>
            </w:pPr>
            <w:r>
              <w:rPr>
                <w:rFonts w:ascii="仿宋" w:hAnsi="仿宋" w:eastAsia="仿宋"/>
                <w:sz w:val="24"/>
              </w:rPr>
              <w:t>建设科学合理、安全高效、节能环保的综合数字化自动化矿山。</w:t>
            </w:r>
          </w:p>
        </w:tc>
        <w:tc>
          <w:tcPr>
            <w:tcW w:w="1238" w:type="dxa"/>
            <w:vAlign w:val="center"/>
          </w:tcPr>
          <w:p>
            <w:pPr>
              <w:spacing w:line="300" w:lineRule="exact"/>
              <w:jc w:val="center"/>
              <w:rPr>
                <w:rFonts w:ascii="仿宋" w:hAnsi="仿宋" w:eastAsia="仿宋"/>
                <w:sz w:val="24"/>
              </w:rPr>
            </w:pPr>
            <w:r>
              <w:rPr>
                <w:rFonts w:ascii="仿宋" w:hAnsi="仿宋" w:eastAsia="仿宋"/>
                <w:sz w:val="24"/>
              </w:rPr>
              <w:t>2016年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2020年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Merge w:val="continue"/>
            <w:vAlign w:val="center"/>
          </w:tcPr>
          <w:p>
            <w:pPr>
              <w:spacing w:line="300" w:lineRule="exact"/>
              <w:rPr>
                <w:rFonts w:ascii="仿宋" w:hAnsi="仿宋" w:eastAsia="仿宋"/>
                <w:sz w:val="24"/>
              </w:rPr>
            </w:pPr>
          </w:p>
        </w:tc>
        <w:tc>
          <w:tcPr>
            <w:tcW w:w="3780" w:type="dxa"/>
            <w:vAlign w:val="center"/>
          </w:tcPr>
          <w:p>
            <w:pPr>
              <w:spacing w:line="300" w:lineRule="exact"/>
              <w:rPr>
                <w:rFonts w:ascii="仿宋" w:hAnsi="仿宋" w:eastAsia="仿宋"/>
                <w:sz w:val="24"/>
              </w:rPr>
            </w:pPr>
            <w:r>
              <w:rPr>
                <w:rFonts w:ascii="仿宋" w:hAnsi="仿宋" w:eastAsia="仿宋"/>
                <w:sz w:val="24"/>
              </w:rPr>
              <w:t>9、公司本部及重点子公司尾矿库安全监测系统工程</w:t>
            </w:r>
          </w:p>
        </w:tc>
        <w:tc>
          <w:tcPr>
            <w:tcW w:w="4307" w:type="dxa"/>
            <w:vAlign w:val="center"/>
          </w:tcPr>
          <w:p>
            <w:pPr>
              <w:spacing w:line="300" w:lineRule="exact"/>
              <w:rPr>
                <w:rFonts w:ascii="仿宋" w:hAnsi="仿宋" w:eastAsia="仿宋"/>
                <w:sz w:val="24"/>
              </w:rPr>
            </w:pPr>
            <w:r>
              <w:rPr>
                <w:rFonts w:ascii="仿宋" w:hAnsi="仿宋" w:eastAsia="仿宋"/>
                <w:color w:val="000000"/>
                <w:kern w:val="0"/>
                <w:sz w:val="24"/>
              </w:rPr>
              <w:t>公司本部及重点子公司尾矿库建设安全监测系统，实现尾矿库实时监测。</w:t>
            </w:r>
          </w:p>
        </w:tc>
        <w:tc>
          <w:tcPr>
            <w:tcW w:w="1238" w:type="dxa"/>
            <w:vAlign w:val="center"/>
          </w:tcPr>
          <w:p>
            <w:pPr>
              <w:spacing w:line="300" w:lineRule="exact"/>
              <w:jc w:val="center"/>
              <w:rPr>
                <w:rFonts w:ascii="仿宋" w:hAnsi="仿宋" w:eastAsia="仿宋"/>
                <w:sz w:val="24"/>
              </w:rPr>
            </w:pPr>
            <w:r>
              <w:rPr>
                <w:rFonts w:ascii="仿宋" w:hAnsi="仿宋" w:eastAsia="仿宋"/>
                <w:sz w:val="24"/>
              </w:rPr>
              <w:t>2016年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2020年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Merge w:val="continue"/>
            <w:vAlign w:val="center"/>
          </w:tcPr>
          <w:p>
            <w:pPr>
              <w:spacing w:line="300" w:lineRule="exact"/>
              <w:rPr>
                <w:rFonts w:ascii="仿宋" w:hAnsi="仿宋" w:eastAsia="仿宋"/>
                <w:sz w:val="24"/>
              </w:rPr>
            </w:pPr>
          </w:p>
        </w:tc>
        <w:tc>
          <w:tcPr>
            <w:tcW w:w="3780" w:type="dxa"/>
            <w:vAlign w:val="center"/>
          </w:tcPr>
          <w:p>
            <w:pPr>
              <w:spacing w:line="300" w:lineRule="exact"/>
              <w:rPr>
                <w:rFonts w:ascii="仿宋" w:hAnsi="仿宋" w:eastAsia="仿宋"/>
                <w:sz w:val="24"/>
              </w:rPr>
            </w:pPr>
            <w:r>
              <w:rPr>
                <w:rFonts w:ascii="仿宋" w:hAnsi="仿宋" w:eastAsia="仿宋"/>
                <w:color w:val="000000"/>
                <w:kern w:val="0"/>
                <w:sz w:val="24"/>
              </w:rPr>
              <w:t>10、公司重金属废水、氨水、废气等治理工程</w:t>
            </w:r>
          </w:p>
        </w:tc>
        <w:tc>
          <w:tcPr>
            <w:tcW w:w="4307" w:type="dxa"/>
            <w:vAlign w:val="center"/>
          </w:tcPr>
          <w:p>
            <w:pPr>
              <w:spacing w:line="300" w:lineRule="exact"/>
              <w:rPr>
                <w:rFonts w:ascii="仿宋" w:hAnsi="仿宋" w:eastAsia="仿宋"/>
                <w:sz w:val="24"/>
              </w:rPr>
            </w:pPr>
            <w:r>
              <w:rPr>
                <w:rFonts w:ascii="仿宋" w:hAnsi="仿宋" w:eastAsia="仿宋"/>
                <w:color w:val="000000"/>
                <w:kern w:val="0"/>
                <w:sz w:val="24"/>
              </w:rPr>
              <w:t>公司重金属废水、氨水、废气等治理工程，实现废水、氨水、废气达标排放。</w:t>
            </w:r>
          </w:p>
        </w:tc>
        <w:tc>
          <w:tcPr>
            <w:tcW w:w="1238" w:type="dxa"/>
            <w:vAlign w:val="center"/>
          </w:tcPr>
          <w:p>
            <w:pPr>
              <w:spacing w:line="300" w:lineRule="exact"/>
              <w:jc w:val="center"/>
              <w:rPr>
                <w:rFonts w:ascii="仿宋" w:hAnsi="仿宋" w:eastAsia="仿宋"/>
                <w:sz w:val="24"/>
              </w:rPr>
            </w:pPr>
            <w:r>
              <w:rPr>
                <w:rFonts w:ascii="仿宋" w:hAnsi="仿宋" w:eastAsia="仿宋"/>
                <w:sz w:val="24"/>
              </w:rPr>
              <w:t>2016年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2020年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Merge w:val="continue"/>
            <w:vAlign w:val="center"/>
          </w:tcPr>
          <w:p>
            <w:pPr>
              <w:spacing w:line="300" w:lineRule="exact"/>
              <w:rPr>
                <w:rFonts w:ascii="仿宋" w:hAnsi="仿宋" w:eastAsia="仿宋"/>
                <w:sz w:val="24"/>
              </w:rPr>
            </w:pPr>
          </w:p>
        </w:tc>
        <w:tc>
          <w:tcPr>
            <w:tcW w:w="3780" w:type="dxa"/>
            <w:vAlign w:val="center"/>
          </w:tcPr>
          <w:p>
            <w:pPr>
              <w:spacing w:line="300" w:lineRule="exact"/>
              <w:rPr>
                <w:rFonts w:ascii="仿宋" w:hAnsi="仿宋" w:eastAsia="仿宋"/>
                <w:sz w:val="24"/>
              </w:rPr>
            </w:pPr>
            <w:r>
              <w:rPr>
                <w:rFonts w:ascii="仿宋" w:hAnsi="仿宋" w:eastAsia="仿宋"/>
                <w:sz w:val="24"/>
              </w:rPr>
              <w:t>11、</w:t>
            </w:r>
            <w:r>
              <w:rPr>
                <w:rFonts w:ascii="仿宋" w:hAnsi="仿宋" w:eastAsia="仿宋"/>
                <w:color w:val="000000"/>
                <w:kern w:val="0"/>
                <w:sz w:val="24"/>
              </w:rPr>
              <w:t>2#尾矿库尾矿资源综合回收利用工程。</w:t>
            </w:r>
          </w:p>
        </w:tc>
        <w:tc>
          <w:tcPr>
            <w:tcW w:w="4307" w:type="dxa"/>
            <w:vAlign w:val="center"/>
          </w:tcPr>
          <w:p>
            <w:pPr>
              <w:spacing w:line="300" w:lineRule="exact"/>
              <w:rPr>
                <w:rFonts w:ascii="仿宋" w:hAnsi="仿宋" w:eastAsia="仿宋"/>
                <w:sz w:val="24"/>
              </w:rPr>
            </w:pPr>
            <w:r>
              <w:rPr>
                <w:rFonts w:ascii="仿宋" w:hAnsi="仿宋" w:eastAsia="仿宋"/>
                <w:color w:val="000000"/>
                <w:kern w:val="0"/>
                <w:sz w:val="24"/>
              </w:rPr>
              <w:t>对尾矿中有价金属进行回收后，其余部分生产建筑材料，腾出库容。</w:t>
            </w:r>
          </w:p>
        </w:tc>
        <w:tc>
          <w:tcPr>
            <w:tcW w:w="1238" w:type="dxa"/>
            <w:vAlign w:val="center"/>
          </w:tcPr>
          <w:p>
            <w:pPr>
              <w:spacing w:line="300" w:lineRule="exact"/>
              <w:jc w:val="center"/>
              <w:rPr>
                <w:rFonts w:ascii="仿宋" w:hAnsi="仿宋" w:eastAsia="仿宋"/>
                <w:sz w:val="24"/>
              </w:rPr>
            </w:pPr>
            <w:r>
              <w:rPr>
                <w:rFonts w:ascii="仿宋" w:hAnsi="仿宋" w:eastAsia="仿宋"/>
                <w:sz w:val="24"/>
              </w:rPr>
              <w:t>2016年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2020年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Merge w:val="continue"/>
            <w:vAlign w:val="center"/>
          </w:tcPr>
          <w:p>
            <w:pPr>
              <w:spacing w:line="300" w:lineRule="exact"/>
              <w:rPr>
                <w:rFonts w:ascii="仿宋" w:hAnsi="仿宋" w:eastAsia="仿宋"/>
                <w:sz w:val="24"/>
              </w:rPr>
            </w:pPr>
          </w:p>
        </w:tc>
        <w:tc>
          <w:tcPr>
            <w:tcW w:w="3780" w:type="dxa"/>
            <w:vAlign w:val="center"/>
          </w:tcPr>
          <w:p>
            <w:pPr>
              <w:spacing w:line="300" w:lineRule="exact"/>
              <w:rPr>
                <w:rFonts w:ascii="仿宋" w:hAnsi="仿宋" w:eastAsia="仿宋"/>
                <w:sz w:val="24"/>
              </w:rPr>
            </w:pPr>
            <w:r>
              <w:rPr>
                <w:rFonts w:ascii="仿宋" w:hAnsi="仿宋" w:eastAsia="仿宋"/>
                <w:sz w:val="24"/>
              </w:rPr>
              <w:t>12、现有</w:t>
            </w:r>
            <w:r>
              <w:rPr>
                <w:rFonts w:ascii="仿宋" w:hAnsi="仿宋" w:eastAsia="仿宋"/>
                <w:color w:val="000000"/>
                <w:kern w:val="0"/>
                <w:sz w:val="24"/>
              </w:rPr>
              <w:t>仲钨酸铵生产系统扩建工程</w:t>
            </w:r>
          </w:p>
        </w:tc>
        <w:tc>
          <w:tcPr>
            <w:tcW w:w="4307" w:type="dxa"/>
            <w:vAlign w:val="center"/>
          </w:tcPr>
          <w:p>
            <w:pPr>
              <w:spacing w:line="300" w:lineRule="exact"/>
              <w:rPr>
                <w:rFonts w:ascii="仿宋" w:hAnsi="仿宋" w:eastAsia="仿宋"/>
                <w:sz w:val="24"/>
              </w:rPr>
            </w:pPr>
            <w:r>
              <w:rPr>
                <w:rFonts w:ascii="仿宋" w:hAnsi="仿宋" w:eastAsia="仿宋"/>
                <w:color w:val="000000"/>
                <w:kern w:val="0"/>
                <w:sz w:val="24"/>
              </w:rPr>
              <w:t>仲钨酸铵5000吨/年扩建及相关配套设施。</w:t>
            </w:r>
          </w:p>
        </w:tc>
        <w:tc>
          <w:tcPr>
            <w:tcW w:w="1238" w:type="dxa"/>
            <w:vAlign w:val="center"/>
          </w:tcPr>
          <w:p>
            <w:pPr>
              <w:spacing w:line="300" w:lineRule="exact"/>
              <w:jc w:val="center"/>
              <w:rPr>
                <w:rFonts w:ascii="仿宋" w:hAnsi="仿宋" w:eastAsia="仿宋"/>
                <w:sz w:val="24"/>
              </w:rPr>
            </w:pPr>
            <w:r>
              <w:rPr>
                <w:rFonts w:ascii="仿宋" w:hAnsi="仿宋" w:eastAsia="仿宋"/>
                <w:sz w:val="24"/>
              </w:rPr>
              <w:t>2016年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2020年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Merge w:val="continue"/>
            <w:vAlign w:val="center"/>
          </w:tcPr>
          <w:p>
            <w:pPr>
              <w:spacing w:line="300" w:lineRule="exact"/>
              <w:rPr>
                <w:rFonts w:ascii="仿宋" w:hAnsi="仿宋" w:eastAsia="仿宋"/>
                <w:sz w:val="24"/>
              </w:rPr>
            </w:pPr>
          </w:p>
        </w:tc>
        <w:tc>
          <w:tcPr>
            <w:tcW w:w="3780" w:type="dxa"/>
            <w:vAlign w:val="center"/>
          </w:tcPr>
          <w:p>
            <w:pPr>
              <w:spacing w:line="300" w:lineRule="exact"/>
              <w:rPr>
                <w:rFonts w:ascii="仿宋" w:hAnsi="仿宋" w:eastAsia="仿宋"/>
                <w:sz w:val="24"/>
              </w:rPr>
            </w:pPr>
            <w:r>
              <w:rPr>
                <w:rFonts w:ascii="仿宋" w:hAnsi="仿宋" w:eastAsia="仿宋"/>
                <w:color w:val="000000"/>
                <w:kern w:val="0"/>
                <w:sz w:val="24"/>
              </w:rPr>
              <w:t>13、公司本部冶炼厂鼓风炉大型化研究与建设工程</w:t>
            </w:r>
          </w:p>
        </w:tc>
        <w:tc>
          <w:tcPr>
            <w:tcW w:w="4307" w:type="dxa"/>
            <w:vAlign w:val="center"/>
          </w:tcPr>
          <w:p>
            <w:pPr>
              <w:spacing w:line="300" w:lineRule="exact"/>
              <w:rPr>
                <w:rFonts w:ascii="仿宋" w:hAnsi="仿宋" w:eastAsia="仿宋"/>
                <w:color w:val="000000"/>
                <w:kern w:val="0"/>
                <w:sz w:val="24"/>
              </w:rPr>
            </w:pPr>
            <w:r>
              <w:rPr>
                <w:rFonts w:ascii="仿宋" w:hAnsi="仿宋" w:eastAsia="仿宋"/>
                <w:color w:val="000000"/>
                <w:kern w:val="0"/>
                <w:sz w:val="24"/>
              </w:rPr>
              <w:t>公司本部冶炼厂鼓风炉炉型改造与建设等相关配套设施。</w:t>
            </w:r>
          </w:p>
        </w:tc>
        <w:tc>
          <w:tcPr>
            <w:tcW w:w="1238" w:type="dxa"/>
            <w:vAlign w:val="center"/>
          </w:tcPr>
          <w:p>
            <w:pPr>
              <w:spacing w:line="300" w:lineRule="exact"/>
              <w:jc w:val="center"/>
              <w:rPr>
                <w:rFonts w:ascii="仿宋" w:hAnsi="仿宋" w:eastAsia="仿宋"/>
                <w:sz w:val="24"/>
              </w:rPr>
            </w:pPr>
            <w:r>
              <w:rPr>
                <w:rFonts w:ascii="仿宋" w:hAnsi="仿宋" w:eastAsia="仿宋"/>
                <w:sz w:val="24"/>
              </w:rPr>
              <w:t>2016年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2017年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Merge w:val="continue"/>
            <w:vAlign w:val="center"/>
          </w:tcPr>
          <w:p>
            <w:pPr>
              <w:spacing w:line="300" w:lineRule="exact"/>
              <w:rPr>
                <w:rFonts w:ascii="仿宋" w:hAnsi="仿宋" w:eastAsia="仿宋"/>
                <w:sz w:val="24"/>
              </w:rPr>
            </w:pPr>
          </w:p>
        </w:tc>
        <w:tc>
          <w:tcPr>
            <w:tcW w:w="3780" w:type="dxa"/>
            <w:vAlign w:val="center"/>
          </w:tcPr>
          <w:p>
            <w:pPr>
              <w:spacing w:line="300" w:lineRule="exact"/>
              <w:rPr>
                <w:rFonts w:ascii="仿宋" w:hAnsi="仿宋" w:eastAsia="仿宋"/>
                <w:sz w:val="24"/>
              </w:rPr>
            </w:pPr>
            <w:r>
              <w:rPr>
                <w:rFonts w:ascii="仿宋" w:hAnsi="仿宋" w:eastAsia="仿宋"/>
                <w:sz w:val="24"/>
              </w:rPr>
              <w:t>14、矿山开拓系统改建工程</w:t>
            </w:r>
          </w:p>
        </w:tc>
        <w:tc>
          <w:tcPr>
            <w:tcW w:w="4307" w:type="dxa"/>
            <w:vAlign w:val="center"/>
          </w:tcPr>
          <w:p>
            <w:pPr>
              <w:spacing w:line="300" w:lineRule="exact"/>
              <w:rPr>
                <w:rFonts w:ascii="仿宋" w:hAnsi="仿宋" w:eastAsia="仿宋"/>
                <w:sz w:val="24"/>
              </w:rPr>
            </w:pPr>
            <w:r>
              <w:rPr>
                <w:rFonts w:ascii="仿宋" w:hAnsi="仿宋" w:eastAsia="仿宋"/>
                <w:color w:val="000000"/>
                <w:kern w:val="0"/>
                <w:sz w:val="24"/>
              </w:rPr>
              <w:t>矿山类子公司井下开拓系统建设。</w:t>
            </w:r>
          </w:p>
        </w:tc>
        <w:tc>
          <w:tcPr>
            <w:tcW w:w="1238" w:type="dxa"/>
            <w:vAlign w:val="center"/>
          </w:tcPr>
          <w:p>
            <w:pPr>
              <w:spacing w:line="300" w:lineRule="exact"/>
              <w:jc w:val="center"/>
              <w:rPr>
                <w:rFonts w:ascii="仿宋" w:hAnsi="仿宋" w:eastAsia="仿宋"/>
                <w:sz w:val="24"/>
              </w:rPr>
            </w:pPr>
            <w:r>
              <w:rPr>
                <w:rFonts w:ascii="仿宋" w:hAnsi="仿宋" w:eastAsia="仿宋"/>
                <w:sz w:val="24"/>
              </w:rPr>
              <w:t>2016年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2020年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Merge w:val="restart"/>
            <w:vAlign w:val="center"/>
          </w:tcPr>
          <w:p>
            <w:pPr>
              <w:spacing w:line="300" w:lineRule="exact"/>
              <w:rPr>
                <w:rFonts w:ascii="仿宋" w:hAnsi="仿宋" w:eastAsia="仿宋"/>
                <w:sz w:val="24"/>
              </w:rPr>
            </w:pPr>
            <w:r>
              <w:rPr>
                <w:rFonts w:ascii="仿宋" w:hAnsi="仿宋" w:eastAsia="仿宋"/>
                <w:sz w:val="24"/>
              </w:rPr>
              <w:t>新龙矿业有限责任公司</w:t>
            </w:r>
          </w:p>
        </w:tc>
        <w:tc>
          <w:tcPr>
            <w:tcW w:w="3780" w:type="dxa"/>
            <w:vAlign w:val="center"/>
          </w:tcPr>
          <w:p>
            <w:pPr>
              <w:spacing w:line="300" w:lineRule="exact"/>
              <w:rPr>
                <w:rFonts w:ascii="仿宋" w:hAnsi="仿宋" w:eastAsia="仿宋"/>
                <w:sz w:val="24"/>
              </w:rPr>
            </w:pPr>
            <w:r>
              <w:rPr>
                <w:rFonts w:ascii="仿宋" w:hAnsi="仿宋" w:eastAsia="仿宋"/>
                <w:sz w:val="24"/>
              </w:rPr>
              <w:t>15、公司本部</w:t>
            </w:r>
            <w:r>
              <w:rPr>
                <w:rFonts w:ascii="仿宋" w:hAnsi="仿宋" w:eastAsia="仿宋"/>
                <w:color w:val="000000"/>
                <w:kern w:val="0"/>
                <w:sz w:val="24"/>
              </w:rPr>
              <w:t>1#竖井建设工程</w:t>
            </w:r>
          </w:p>
        </w:tc>
        <w:tc>
          <w:tcPr>
            <w:tcW w:w="4307" w:type="dxa"/>
            <w:vAlign w:val="center"/>
          </w:tcPr>
          <w:p>
            <w:pPr>
              <w:spacing w:line="300" w:lineRule="exact"/>
              <w:rPr>
                <w:rFonts w:ascii="仿宋" w:hAnsi="仿宋" w:eastAsia="仿宋"/>
                <w:sz w:val="24"/>
              </w:rPr>
            </w:pPr>
            <w:r>
              <w:rPr>
                <w:rFonts w:ascii="仿宋" w:hAnsi="仿宋" w:eastAsia="仿宋"/>
                <w:sz w:val="24"/>
              </w:rPr>
              <w:t>公司本部1号竖井及其联络道建设。</w:t>
            </w:r>
          </w:p>
        </w:tc>
        <w:tc>
          <w:tcPr>
            <w:tcW w:w="1238" w:type="dxa"/>
            <w:vAlign w:val="center"/>
          </w:tcPr>
          <w:p>
            <w:pPr>
              <w:spacing w:line="300" w:lineRule="exact"/>
              <w:jc w:val="center"/>
              <w:rPr>
                <w:rFonts w:ascii="仿宋" w:hAnsi="仿宋" w:eastAsia="仿宋"/>
                <w:sz w:val="24"/>
              </w:rPr>
            </w:pPr>
            <w:r>
              <w:rPr>
                <w:rFonts w:ascii="仿宋" w:hAnsi="仿宋" w:eastAsia="仿宋"/>
                <w:sz w:val="24"/>
              </w:rPr>
              <w:t>2016年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2020年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Merge w:val="continue"/>
            <w:vAlign w:val="center"/>
          </w:tcPr>
          <w:p>
            <w:pPr>
              <w:spacing w:line="300" w:lineRule="exact"/>
              <w:rPr>
                <w:rFonts w:ascii="仿宋" w:hAnsi="仿宋" w:eastAsia="仿宋"/>
                <w:sz w:val="24"/>
              </w:rPr>
            </w:pPr>
          </w:p>
        </w:tc>
        <w:tc>
          <w:tcPr>
            <w:tcW w:w="3780" w:type="dxa"/>
            <w:vAlign w:val="center"/>
          </w:tcPr>
          <w:p>
            <w:pPr>
              <w:spacing w:line="300" w:lineRule="exact"/>
              <w:rPr>
                <w:rFonts w:ascii="仿宋" w:hAnsi="仿宋" w:eastAsia="仿宋"/>
                <w:sz w:val="24"/>
              </w:rPr>
            </w:pPr>
            <w:r>
              <w:rPr>
                <w:rFonts w:ascii="仿宋" w:hAnsi="仿宋" w:eastAsia="仿宋"/>
                <w:sz w:val="24"/>
              </w:rPr>
              <w:t>16、</w:t>
            </w:r>
            <w:r>
              <w:rPr>
                <w:rFonts w:ascii="仿宋" w:hAnsi="仿宋" w:eastAsia="仿宋"/>
                <w:color w:val="000000"/>
                <w:kern w:val="0"/>
                <w:sz w:val="24"/>
              </w:rPr>
              <w:t>新邵四维主、副井系统建设工程</w:t>
            </w:r>
          </w:p>
        </w:tc>
        <w:tc>
          <w:tcPr>
            <w:tcW w:w="4307" w:type="dxa"/>
            <w:vAlign w:val="center"/>
          </w:tcPr>
          <w:p>
            <w:pPr>
              <w:spacing w:line="300" w:lineRule="exact"/>
              <w:rPr>
                <w:rFonts w:ascii="仿宋" w:hAnsi="仿宋" w:eastAsia="仿宋"/>
                <w:sz w:val="24"/>
              </w:rPr>
            </w:pPr>
            <w:r>
              <w:rPr>
                <w:rFonts w:ascii="仿宋" w:hAnsi="仿宋" w:eastAsia="仿宋"/>
                <w:sz w:val="24"/>
              </w:rPr>
              <w:t>生产主、副井系统建设。</w:t>
            </w:r>
          </w:p>
        </w:tc>
        <w:tc>
          <w:tcPr>
            <w:tcW w:w="1238" w:type="dxa"/>
            <w:vAlign w:val="center"/>
          </w:tcPr>
          <w:p>
            <w:pPr>
              <w:spacing w:line="300" w:lineRule="exact"/>
              <w:jc w:val="center"/>
              <w:rPr>
                <w:rFonts w:ascii="仿宋" w:hAnsi="仿宋" w:eastAsia="仿宋"/>
                <w:sz w:val="24"/>
              </w:rPr>
            </w:pPr>
            <w:r>
              <w:rPr>
                <w:rFonts w:ascii="仿宋" w:hAnsi="仿宋" w:eastAsia="仿宋"/>
                <w:sz w:val="24"/>
              </w:rPr>
              <w:t>2016年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2020年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Merge w:val="continue"/>
            <w:vAlign w:val="center"/>
          </w:tcPr>
          <w:p>
            <w:pPr>
              <w:spacing w:line="300" w:lineRule="exact"/>
              <w:rPr>
                <w:rFonts w:ascii="仿宋" w:hAnsi="仿宋" w:eastAsia="仿宋"/>
                <w:sz w:val="24"/>
              </w:rPr>
            </w:pPr>
          </w:p>
        </w:tc>
        <w:tc>
          <w:tcPr>
            <w:tcW w:w="3780" w:type="dxa"/>
            <w:vAlign w:val="center"/>
          </w:tcPr>
          <w:p>
            <w:pPr>
              <w:spacing w:line="300" w:lineRule="exact"/>
              <w:rPr>
                <w:rFonts w:ascii="仿宋" w:hAnsi="仿宋" w:eastAsia="仿宋"/>
                <w:sz w:val="24"/>
              </w:rPr>
            </w:pPr>
            <w:r>
              <w:rPr>
                <w:rFonts w:ascii="仿宋" w:hAnsi="仿宋" w:eastAsia="仿宋"/>
                <w:sz w:val="24"/>
              </w:rPr>
              <w:t>17、</w:t>
            </w:r>
            <w:r>
              <w:rPr>
                <w:rFonts w:ascii="仿宋" w:hAnsi="仿宋" w:eastAsia="仿宋"/>
                <w:color w:val="000000"/>
                <w:kern w:val="0"/>
                <w:sz w:val="24"/>
              </w:rPr>
              <w:t>新邵四维3000吨/日采选建设工程</w:t>
            </w:r>
          </w:p>
        </w:tc>
        <w:tc>
          <w:tcPr>
            <w:tcW w:w="4307" w:type="dxa"/>
            <w:vAlign w:val="center"/>
          </w:tcPr>
          <w:p>
            <w:pPr>
              <w:spacing w:line="300" w:lineRule="exact"/>
              <w:rPr>
                <w:rFonts w:ascii="仿宋" w:hAnsi="仿宋" w:eastAsia="仿宋"/>
                <w:sz w:val="24"/>
              </w:rPr>
            </w:pPr>
            <w:r>
              <w:rPr>
                <w:rFonts w:ascii="仿宋" w:hAnsi="仿宋" w:eastAsia="仿宋"/>
                <w:color w:val="000000"/>
                <w:kern w:val="0"/>
                <w:sz w:val="24"/>
              </w:rPr>
              <w:t>井下开拓系统， 3000t/d新选厂建设。</w:t>
            </w:r>
          </w:p>
        </w:tc>
        <w:tc>
          <w:tcPr>
            <w:tcW w:w="1238" w:type="dxa"/>
            <w:vAlign w:val="center"/>
          </w:tcPr>
          <w:p>
            <w:pPr>
              <w:spacing w:line="300" w:lineRule="exact"/>
              <w:jc w:val="center"/>
              <w:rPr>
                <w:rFonts w:ascii="仿宋" w:hAnsi="仿宋" w:eastAsia="仿宋"/>
                <w:sz w:val="24"/>
              </w:rPr>
            </w:pPr>
            <w:r>
              <w:rPr>
                <w:rFonts w:ascii="仿宋" w:hAnsi="仿宋" w:eastAsia="仿宋"/>
                <w:sz w:val="24"/>
              </w:rPr>
              <w:t>2016年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2017年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Merge w:val="continue"/>
            <w:vAlign w:val="center"/>
          </w:tcPr>
          <w:p>
            <w:pPr>
              <w:spacing w:line="300" w:lineRule="exact"/>
              <w:rPr>
                <w:rFonts w:ascii="仿宋" w:hAnsi="仿宋" w:eastAsia="仿宋"/>
                <w:sz w:val="24"/>
              </w:rPr>
            </w:pPr>
          </w:p>
        </w:tc>
        <w:tc>
          <w:tcPr>
            <w:tcW w:w="3780" w:type="dxa"/>
            <w:vAlign w:val="center"/>
          </w:tcPr>
          <w:p>
            <w:pPr>
              <w:spacing w:line="300" w:lineRule="exact"/>
              <w:rPr>
                <w:rFonts w:ascii="仿宋" w:hAnsi="仿宋" w:eastAsia="仿宋"/>
                <w:sz w:val="24"/>
              </w:rPr>
            </w:pPr>
            <w:r>
              <w:rPr>
                <w:rFonts w:ascii="仿宋" w:hAnsi="仿宋" w:eastAsia="仿宋"/>
                <w:sz w:val="24"/>
              </w:rPr>
              <w:t>18、</w:t>
            </w:r>
            <w:r>
              <w:rPr>
                <w:rFonts w:ascii="仿宋" w:hAnsi="仿宋" w:eastAsia="仿宋"/>
                <w:color w:val="000000"/>
                <w:kern w:val="0"/>
                <w:sz w:val="24"/>
              </w:rPr>
              <w:t>新邵四维尾矿库建设工程</w:t>
            </w:r>
          </w:p>
        </w:tc>
        <w:tc>
          <w:tcPr>
            <w:tcW w:w="4307" w:type="dxa"/>
            <w:vAlign w:val="center"/>
          </w:tcPr>
          <w:p>
            <w:pPr>
              <w:spacing w:line="300" w:lineRule="exact"/>
              <w:rPr>
                <w:rFonts w:ascii="仿宋" w:hAnsi="仿宋" w:eastAsia="仿宋"/>
                <w:sz w:val="24"/>
              </w:rPr>
            </w:pPr>
            <w:r>
              <w:rPr>
                <w:rFonts w:ascii="仿宋" w:hAnsi="仿宋" w:eastAsia="仿宋"/>
                <w:sz w:val="24"/>
              </w:rPr>
              <w:t>新尾矿库建设。</w:t>
            </w:r>
          </w:p>
        </w:tc>
        <w:tc>
          <w:tcPr>
            <w:tcW w:w="1238" w:type="dxa"/>
            <w:vAlign w:val="center"/>
          </w:tcPr>
          <w:p>
            <w:pPr>
              <w:spacing w:line="300" w:lineRule="exact"/>
              <w:jc w:val="center"/>
              <w:rPr>
                <w:rFonts w:ascii="仿宋" w:hAnsi="仿宋" w:eastAsia="仿宋"/>
                <w:sz w:val="24"/>
              </w:rPr>
            </w:pPr>
            <w:r>
              <w:rPr>
                <w:rFonts w:ascii="仿宋" w:hAnsi="仿宋" w:eastAsia="仿宋"/>
                <w:sz w:val="24"/>
              </w:rPr>
              <w:t>2016年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2017年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Merge w:val="continue"/>
            <w:vAlign w:val="center"/>
          </w:tcPr>
          <w:p>
            <w:pPr>
              <w:spacing w:line="300" w:lineRule="exact"/>
              <w:rPr>
                <w:rFonts w:ascii="仿宋" w:hAnsi="仿宋" w:eastAsia="仿宋"/>
                <w:sz w:val="24"/>
              </w:rPr>
            </w:pPr>
          </w:p>
        </w:tc>
        <w:tc>
          <w:tcPr>
            <w:tcW w:w="3780" w:type="dxa"/>
            <w:vAlign w:val="center"/>
          </w:tcPr>
          <w:p>
            <w:pPr>
              <w:spacing w:line="300" w:lineRule="exact"/>
              <w:rPr>
                <w:rFonts w:ascii="仿宋" w:hAnsi="仿宋" w:eastAsia="仿宋"/>
                <w:sz w:val="24"/>
              </w:rPr>
            </w:pPr>
            <w:r>
              <w:rPr>
                <w:rFonts w:ascii="仿宋" w:hAnsi="仿宋" w:eastAsia="仿宋"/>
                <w:sz w:val="24"/>
              </w:rPr>
              <w:t>19、</w:t>
            </w:r>
            <w:r>
              <w:rPr>
                <w:rFonts w:ascii="仿宋" w:hAnsi="仿宋" w:eastAsia="仿宋"/>
                <w:color w:val="000000"/>
                <w:kern w:val="0"/>
                <w:sz w:val="24"/>
              </w:rPr>
              <w:t>隆回金杏采选改扩建工程</w:t>
            </w:r>
          </w:p>
        </w:tc>
        <w:tc>
          <w:tcPr>
            <w:tcW w:w="4307" w:type="dxa"/>
            <w:vAlign w:val="center"/>
          </w:tcPr>
          <w:p>
            <w:pPr>
              <w:spacing w:line="300" w:lineRule="exact"/>
              <w:rPr>
                <w:rFonts w:ascii="仿宋" w:hAnsi="仿宋" w:eastAsia="仿宋"/>
                <w:sz w:val="24"/>
              </w:rPr>
            </w:pPr>
            <w:r>
              <w:rPr>
                <w:rFonts w:ascii="仿宋" w:hAnsi="仿宋" w:eastAsia="仿宋"/>
                <w:color w:val="000000"/>
                <w:kern w:val="0"/>
                <w:sz w:val="24"/>
              </w:rPr>
              <w:t>600吨/日井下开拓系统建设， 3000吨/日选厂改扩建设。</w:t>
            </w:r>
          </w:p>
        </w:tc>
        <w:tc>
          <w:tcPr>
            <w:tcW w:w="1238" w:type="dxa"/>
            <w:vAlign w:val="center"/>
          </w:tcPr>
          <w:p>
            <w:pPr>
              <w:spacing w:line="300" w:lineRule="exact"/>
              <w:jc w:val="center"/>
              <w:rPr>
                <w:rFonts w:ascii="仿宋" w:hAnsi="仿宋" w:eastAsia="仿宋"/>
                <w:sz w:val="24"/>
              </w:rPr>
            </w:pPr>
            <w:r>
              <w:rPr>
                <w:rFonts w:ascii="仿宋" w:hAnsi="仿宋" w:eastAsia="仿宋"/>
                <w:sz w:val="24"/>
              </w:rPr>
              <w:t>2016年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2017年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Merge w:val="continue"/>
            <w:vAlign w:val="center"/>
          </w:tcPr>
          <w:p>
            <w:pPr>
              <w:spacing w:line="300" w:lineRule="exact"/>
              <w:rPr>
                <w:rFonts w:ascii="仿宋" w:hAnsi="仿宋" w:eastAsia="仿宋"/>
                <w:sz w:val="24"/>
              </w:rPr>
            </w:pPr>
          </w:p>
        </w:tc>
        <w:tc>
          <w:tcPr>
            <w:tcW w:w="3780" w:type="dxa"/>
            <w:vAlign w:val="center"/>
          </w:tcPr>
          <w:p>
            <w:pPr>
              <w:spacing w:line="300" w:lineRule="exact"/>
              <w:rPr>
                <w:rFonts w:ascii="仿宋" w:hAnsi="仿宋" w:eastAsia="仿宋"/>
                <w:sz w:val="24"/>
              </w:rPr>
            </w:pPr>
            <w:r>
              <w:rPr>
                <w:rFonts w:ascii="仿宋" w:hAnsi="仿宋" w:eastAsia="仿宋"/>
                <w:sz w:val="24"/>
              </w:rPr>
              <w:t>20、</w:t>
            </w:r>
            <w:r>
              <w:rPr>
                <w:rFonts w:ascii="仿宋" w:hAnsi="仿宋" w:eastAsia="仿宋"/>
                <w:color w:val="000000"/>
                <w:kern w:val="0"/>
                <w:sz w:val="24"/>
              </w:rPr>
              <w:t>金锑分离湿法冶金建设工程</w:t>
            </w:r>
          </w:p>
        </w:tc>
        <w:tc>
          <w:tcPr>
            <w:tcW w:w="4307" w:type="dxa"/>
            <w:vAlign w:val="center"/>
          </w:tcPr>
          <w:p>
            <w:pPr>
              <w:spacing w:line="300" w:lineRule="exact"/>
              <w:rPr>
                <w:rFonts w:ascii="仿宋" w:hAnsi="仿宋" w:eastAsia="仿宋"/>
                <w:sz w:val="24"/>
              </w:rPr>
            </w:pPr>
            <w:r>
              <w:rPr>
                <w:rFonts w:ascii="仿宋" w:hAnsi="仿宋" w:eastAsia="仿宋"/>
                <w:color w:val="000000"/>
                <w:kern w:val="0"/>
                <w:sz w:val="24"/>
              </w:rPr>
              <w:t>新邵冶炼厂整体搬迁，建设规模为年处理高砷金锑精矿4万吨。</w:t>
            </w:r>
          </w:p>
        </w:tc>
        <w:tc>
          <w:tcPr>
            <w:tcW w:w="1238" w:type="dxa"/>
            <w:vAlign w:val="center"/>
          </w:tcPr>
          <w:p>
            <w:pPr>
              <w:spacing w:line="300" w:lineRule="exact"/>
              <w:jc w:val="center"/>
              <w:rPr>
                <w:rFonts w:ascii="仿宋" w:hAnsi="仿宋" w:eastAsia="仿宋"/>
                <w:sz w:val="24"/>
              </w:rPr>
            </w:pPr>
            <w:r>
              <w:rPr>
                <w:rFonts w:ascii="仿宋" w:hAnsi="仿宋" w:eastAsia="仿宋"/>
                <w:sz w:val="24"/>
              </w:rPr>
              <w:t>2016年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2017年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Merge w:val="restart"/>
            <w:vAlign w:val="center"/>
          </w:tcPr>
          <w:p>
            <w:pPr>
              <w:spacing w:line="300" w:lineRule="exact"/>
              <w:rPr>
                <w:rFonts w:ascii="仿宋" w:hAnsi="仿宋" w:eastAsia="仿宋"/>
                <w:sz w:val="24"/>
              </w:rPr>
            </w:pPr>
            <w:r>
              <w:rPr>
                <w:rFonts w:ascii="仿宋" w:hAnsi="仿宋" w:eastAsia="仿宋"/>
                <w:sz w:val="24"/>
              </w:rPr>
              <w:t>黄金洞矿业有限责任公司</w:t>
            </w:r>
          </w:p>
        </w:tc>
        <w:tc>
          <w:tcPr>
            <w:tcW w:w="3780" w:type="dxa"/>
            <w:vAlign w:val="center"/>
          </w:tcPr>
          <w:p>
            <w:pPr>
              <w:spacing w:line="300" w:lineRule="exact"/>
              <w:rPr>
                <w:rFonts w:ascii="仿宋" w:hAnsi="仿宋" w:eastAsia="仿宋"/>
                <w:sz w:val="24"/>
              </w:rPr>
            </w:pPr>
            <w:r>
              <w:rPr>
                <w:rFonts w:ascii="仿宋" w:hAnsi="仿宋" w:eastAsia="仿宋"/>
                <w:sz w:val="24"/>
              </w:rPr>
              <w:t>21、</w:t>
            </w:r>
            <w:r>
              <w:rPr>
                <w:rFonts w:ascii="仿宋" w:hAnsi="仿宋" w:eastAsia="仿宋"/>
                <w:color w:val="000000"/>
                <w:kern w:val="0"/>
                <w:sz w:val="24"/>
              </w:rPr>
              <w:t>公司本部采矿1600吨/日建设工程</w:t>
            </w:r>
          </w:p>
        </w:tc>
        <w:tc>
          <w:tcPr>
            <w:tcW w:w="4307" w:type="dxa"/>
            <w:vAlign w:val="center"/>
          </w:tcPr>
          <w:p>
            <w:pPr>
              <w:spacing w:line="300" w:lineRule="exact"/>
              <w:rPr>
                <w:rFonts w:ascii="仿宋" w:hAnsi="仿宋" w:eastAsia="仿宋"/>
                <w:sz w:val="24"/>
              </w:rPr>
            </w:pPr>
            <w:r>
              <w:rPr>
                <w:rFonts w:ascii="仿宋" w:hAnsi="仿宋" w:eastAsia="仿宋"/>
                <w:sz w:val="24"/>
              </w:rPr>
              <w:t>井下开拓系统建设。</w:t>
            </w:r>
          </w:p>
        </w:tc>
        <w:tc>
          <w:tcPr>
            <w:tcW w:w="1238" w:type="dxa"/>
            <w:vAlign w:val="center"/>
          </w:tcPr>
          <w:p>
            <w:pPr>
              <w:spacing w:line="300" w:lineRule="exact"/>
              <w:jc w:val="center"/>
              <w:rPr>
                <w:rFonts w:ascii="仿宋" w:hAnsi="仿宋" w:eastAsia="仿宋"/>
                <w:sz w:val="24"/>
              </w:rPr>
            </w:pPr>
            <w:r>
              <w:rPr>
                <w:rFonts w:ascii="仿宋" w:hAnsi="仿宋" w:eastAsia="仿宋"/>
                <w:sz w:val="24"/>
              </w:rPr>
              <w:t>2015年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2020年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13600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Merge w:val="continue"/>
            <w:vAlign w:val="center"/>
          </w:tcPr>
          <w:p>
            <w:pPr>
              <w:spacing w:line="300" w:lineRule="exact"/>
              <w:rPr>
                <w:rFonts w:ascii="仿宋" w:hAnsi="仿宋" w:eastAsia="仿宋"/>
                <w:sz w:val="24"/>
              </w:rPr>
            </w:pPr>
          </w:p>
        </w:tc>
        <w:tc>
          <w:tcPr>
            <w:tcW w:w="3780" w:type="dxa"/>
            <w:vAlign w:val="center"/>
          </w:tcPr>
          <w:p>
            <w:pPr>
              <w:spacing w:line="300" w:lineRule="exact"/>
              <w:rPr>
                <w:rFonts w:ascii="仿宋" w:hAnsi="仿宋" w:eastAsia="仿宋"/>
                <w:sz w:val="24"/>
              </w:rPr>
            </w:pPr>
            <w:r>
              <w:rPr>
                <w:rFonts w:ascii="仿宋" w:hAnsi="仿宋" w:eastAsia="仿宋"/>
                <w:sz w:val="24"/>
              </w:rPr>
              <w:t>22、</w:t>
            </w:r>
            <w:r>
              <w:rPr>
                <w:rFonts w:ascii="仿宋" w:hAnsi="仿宋" w:eastAsia="仿宋"/>
                <w:color w:val="000000"/>
                <w:kern w:val="0"/>
                <w:sz w:val="24"/>
              </w:rPr>
              <w:t>大万公司采矿1400吨/日建设工程</w:t>
            </w:r>
          </w:p>
        </w:tc>
        <w:tc>
          <w:tcPr>
            <w:tcW w:w="4307" w:type="dxa"/>
            <w:vAlign w:val="center"/>
          </w:tcPr>
          <w:p>
            <w:pPr>
              <w:spacing w:line="300" w:lineRule="exact"/>
              <w:rPr>
                <w:rFonts w:ascii="仿宋" w:hAnsi="仿宋" w:eastAsia="仿宋"/>
                <w:sz w:val="24"/>
              </w:rPr>
            </w:pPr>
            <w:r>
              <w:rPr>
                <w:rFonts w:ascii="仿宋" w:hAnsi="仿宋" w:eastAsia="仿宋"/>
                <w:sz w:val="24"/>
              </w:rPr>
              <w:t>井下开拓系统建设。</w:t>
            </w:r>
          </w:p>
        </w:tc>
        <w:tc>
          <w:tcPr>
            <w:tcW w:w="1238" w:type="dxa"/>
            <w:vAlign w:val="center"/>
          </w:tcPr>
          <w:p>
            <w:pPr>
              <w:spacing w:line="300" w:lineRule="exact"/>
              <w:jc w:val="center"/>
              <w:rPr>
                <w:rFonts w:ascii="仿宋" w:hAnsi="仿宋" w:eastAsia="仿宋"/>
                <w:sz w:val="24"/>
              </w:rPr>
            </w:pPr>
            <w:r>
              <w:rPr>
                <w:rFonts w:ascii="仿宋" w:hAnsi="仿宋" w:eastAsia="仿宋"/>
                <w:sz w:val="24"/>
              </w:rPr>
              <w:t>2015年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2020年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Align w:val="center"/>
          </w:tcPr>
          <w:p>
            <w:pPr>
              <w:spacing w:line="300" w:lineRule="exact"/>
              <w:rPr>
                <w:rFonts w:ascii="仿宋" w:hAnsi="仿宋" w:eastAsia="仿宋"/>
                <w:sz w:val="24"/>
              </w:rPr>
            </w:pPr>
            <w:r>
              <w:rPr>
                <w:rFonts w:ascii="仿宋" w:hAnsi="仿宋" w:eastAsia="仿宋"/>
                <w:sz w:val="24"/>
              </w:rPr>
              <w:t>宝山矿业有限责任公司</w:t>
            </w:r>
          </w:p>
        </w:tc>
        <w:tc>
          <w:tcPr>
            <w:tcW w:w="3780" w:type="dxa"/>
            <w:vAlign w:val="center"/>
          </w:tcPr>
          <w:p>
            <w:pPr>
              <w:spacing w:line="300" w:lineRule="exact"/>
              <w:rPr>
                <w:rFonts w:ascii="仿宋" w:hAnsi="仿宋" w:eastAsia="仿宋"/>
                <w:sz w:val="24"/>
              </w:rPr>
            </w:pPr>
            <w:r>
              <w:rPr>
                <w:rFonts w:ascii="仿宋" w:hAnsi="仿宋" w:eastAsia="仿宋"/>
                <w:sz w:val="24"/>
              </w:rPr>
              <w:t>23、现有采选规模扩建改造工程</w:t>
            </w:r>
          </w:p>
        </w:tc>
        <w:tc>
          <w:tcPr>
            <w:tcW w:w="4307" w:type="dxa"/>
            <w:vAlign w:val="center"/>
          </w:tcPr>
          <w:p>
            <w:pPr>
              <w:spacing w:line="300" w:lineRule="exact"/>
              <w:rPr>
                <w:rFonts w:ascii="仿宋" w:hAnsi="仿宋" w:eastAsia="仿宋"/>
                <w:sz w:val="24"/>
              </w:rPr>
            </w:pPr>
            <w:r>
              <w:rPr>
                <w:rFonts w:ascii="仿宋" w:hAnsi="仿宋" w:eastAsia="仿宋"/>
                <w:sz w:val="24"/>
              </w:rPr>
              <w:t>现有规模扩大至1500吨/日，并进行改造提质。</w:t>
            </w:r>
          </w:p>
        </w:tc>
        <w:tc>
          <w:tcPr>
            <w:tcW w:w="1238" w:type="dxa"/>
            <w:vAlign w:val="center"/>
          </w:tcPr>
          <w:p>
            <w:pPr>
              <w:spacing w:line="300" w:lineRule="exact"/>
              <w:jc w:val="center"/>
              <w:rPr>
                <w:rFonts w:ascii="仿宋" w:hAnsi="仿宋" w:eastAsia="仿宋"/>
                <w:sz w:val="24"/>
              </w:rPr>
            </w:pPr>
            <w:r>
              <w:rPr>
                <w:rFonts w:ascii="仿宋" w:hAnsi="仿宋" w:eastAsia="仿宋"/>
                <w:sz w:val="24"/>
              </w:rPr>
              <w:t>2012年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2016年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Merge w:val="restart"/>
            <w:vAlign w:val="center"/>
          </w:tcPr>
          <w:p>
            <w:pPr>
              <w:spacing w:line="300" w:lineRule="exact"/>
              <w:rPr>
                <w:rFonts w:ascii="仿宋" w:hAnsi="仿宋" w:eastAsia="仿宋"/>
                <w:sz w:val="24"/>
              </w:rPr>
            </w:pPr>
            <w:r>
              <w:rPr>
                <w:rFonts w:ascii="仿宋" w:hAnsi="仿宋" w:eastAsia="仿宋"/>
                <w:sz w:val="24"/>
              </w:rPr>
              <w:t>中南黄金冶炼有限责任公司</w:t>
            </w:r>
          </w:p>
          <w:p>
            <w:pPr>
              <w:spacing w:line="300" w:lineRule="exact"/>
              <w:rPr>
                <w:rFonts w:ascii="仿宋" w:hAnsi="仿宋" w:eastAsia="仿宋"/>
                <w:sz w:val="24"/>
              </w:rPr>
            </w:pPr>
          </w:p>
        </w:tc>
        <w:tc>
          <w:tcPr>
            <w:tcW w:w="3780" w:type="dxa"/>
            <w:vAlign w:val="center"/>
          </w:tcPr>
          <w:p>
            <w:pPr>
              <w:spacing w:line="300" w:lineRule="exact"/>
              <w:rPr>
                <w:rFonts w:ascii="仿宋" w:hAnsi="仿宋" w:eastAsia="仿宋"/>
                <w:sz w:val="24"/>
              </w:rPr>
            </w:pPr>
            <w:r>
              <w:rPr>
                <w:rFonts w:ascii="仿宋" w:hAnsi="仿宋" w:eastAsia="仿宋"/>
                <w:sz w:val="24"/>
              </w:rPr>
              <w:t>24、新建第二条焙烧制酸生产线及相关配套工程</w:t>
            </w:r>
          </w:p>
        </w:tc>
        <w:tc>
          <w:tcPr>
            <w:tcW w:w="4307" w:type="dxa"/>
            <w:vAlign w:val="center"/>
          </w:tcPr>
          <w:p>
            <w:pPr>
              <w:spacing w:line="300" w:lineRule="exact"/>
              <w:rPr>
                <w:rFonts w:ascii="仿宋" w:hAnsi="仿宋" w:eastAsia="仿宋"/>
                <w:sz w:val="24"/>
              </w:rPr>
            </w:pPr>
            <w:r>
              <w:rPr>
                <w:rFonts w:ascii="仿宋" w:hAnsi="仿宋" w:eastAsia="仿宋"/>
                <w:sz w:val="24"/>
              </w:rPr>
              <w:t>新建一套年处理能力为12万吨原料的焙烧制酸系统。</w:t>
            </w:r>
          </w:p>
        </w:tc>
        <w:tc>
          <w:tcPr>
            <w:tcW w:w="1238" w:type="dxa"/>
            <w:vAlign w:val="center"/>
          </w:tcPr>
          <w:p>
            <w:pPr>
              <w:spacing w:line="300" w:lineRule="exact"/>
              <w:jc w:val="center"/>
              <w:rPr>
                <w:rFonts w:ascii="仿宋" w:hAnsi="仿宋" w:eastAsia="仿宋"/>
                <w:sz w:val="24"/>
              </w:rPr>
            </w:pPr>
            <w:r>
              <w:rPr>
                <w:rFonts w:ascii="仿宋" w:hAnsi="仿宋" w:eastAsia="仿宋"/>
                <w:sz w:val="24"/>
              </w:rPr>
              <w:t>2018年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2020年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Merge w:val="continue"/>
            <w:vAlign w:val="center"/>
          </w:tcPr>
          <w:p>
            <w:pPr>
              <w:spacing w:line="300" w:lineRule="exact"/>
              <w:rPr>
                <w:rFonts w:ascii="仿宋" w:hAnsi="仿宋" w:eastAsia="仿宋"/>
                <w:sz w:val="24"/>
              </w:rPr>
            </w:pPr>
          </w:p>
        </w:tc>
        <w:tc>
          <w:tcPr>
            <w:tcW w:w="3780" w:type="dxa"/>
            <w:vAlign w:val="center"/>
          </w:tcPr>
          <w:p>
            <w:pPr>
              <w:spacing w:line="300" w:lineRule="exact"/>
              <w:rPr>
                <w:rFonts w:ascii="仿宋" w:hAnsi="仿宋" w:eastAsia="仿宋"/>
                <w:sz w:val="24"/>
              </w:rPr>
            </w:pPr>
            <w:r>
              <w:rPr>
                <w:rFonts w:ascii="仿宋" w:hAnsi="仿宋" w:eastAsia="仿宋"/>
                <w:sz w:val="24"/>
              </w:rPr>
              <w:t>25、现有系统更新改造及相关配套工程</w:t>
            </w:r>
          </w:p>
        </w:tc>
        <w:tc>
          <w:tcPr>
            <w:tcW w:w="4307" w:type="dxa"/>
            <w:vAlign w:val="center"/>
          </w:tcPr>
          <w:p>
            <w:pPr>
              <w:spacing w:line="300" w:lineRule="exact"/>
              <w:rPr>
                <w:rFonts w:ascii="仿宋" w:hAnsi="仿宋" w:eastAsia="仿宋"/>
                <w:sz w:val="24"/>
              </w:rPr>
            </w:pPr>
            <w:r>
              <w:rPr>
                <w:rFonts w:ascii="仿宋" w:hAnsi="仿宋" w:eastAsia="仿宋"/>
                <w:sz w:val="24"/>
              </w:rPr>
              <w:t>对现有系统进行更新改造、提质扩能、强化安全环保功能。</w:t>
            </w:r>
          </w:p>
        </w:tc>
        <w:tc>
          <w:tcPr>
            <w:tcW w:w="1238" w:type="dxa"/>
            <w:vAlign w:val="center"/>
          </w:tcPr>
          <w:p>
            <w:pPr>
              <w:spacing w:line="300" w:lineRule="exact"/>
              <w:jc w:val="center"/>
              <w:rPr>
                <w:rFonts w:ascii="仿宋" w:hAnsi="仿宋" w:eastAsia="仿宋"/>
                <w:sz w:val="24"/>
              </w:rPr>
            </w:pPr>
            <w:r>
              <w:rPr>
                <w:rFonts w:ascii="仿宋" w:hAnsi="仿宋" w:eastAsia="仿宋"/>
                <w:sz w:val="24"/>
              </w:rPr>
              <w:t>2016年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2020年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Align w:val="center"/>
          </w:tcPr>
          <w:p>
            <w:pPr>
              <w:spacing w:line="300" w:lineRule="exact"/>
              <w:rPr>
                <w:rFonts w:ascii="仿宋" w:hAnsi="仿宋" w:eastAsia="仿宋"/>
                <w:sz w:val="24"/>
              </w:rPr>
            </w:pPr>
            <w:r>
              <w:rPr>
                <w:rFonts w:ascii="仿宋" w:hAnsi="仿宋" w:eastAsia="仿宋"/>
                <w:sz w:val="24"/>
              </w:rPr>
              <w:t>常宁龙鑫矿业有限公司</w:t>
            </w:r>
          </w:p>
        </w:tc>
        <w:tc>
          <w:tcPr>
            <w:tcW w:w="3780" w:type="dxa"/>
            <w:vAlign w:val="center"/>
          </w:tcPr>
          <w:p>
            <w:pPr>
              <w:spacing w:line="300" w:lineRule="exact"/>
              <w:rPr>
                <w:rFonts w:ascii="仿宋" w:hAnsi="仿宋" w:eastAsia="仿宋"/>
                <w:sz w:val="24"/>
              </w:rPr>
            </w:pPr>
            <w:r>
              <w:rPr>
                <w:rFonts w:ascii="仿宋" w:hAnsi="仿宋" w:eastAsia="仿宋"/>
                <w:sz w:val="24"/>
              </w:rPr>
              <w:t>26、现有炭浆处理规模扩建工程</w:t>
            </w:r>
          </w:p>
        </w:tc>
        <w:tc>
          <w:tcPr>
            <w:tcW w:w="4307" w:type="dxa"/>
            <w:vAlign w:val="center"/>
          </w:tcPr>
          <w:p>
            <w:pPr>
              <w:spacing w:line="300" w:lineRule="exact"/>
              <w:rPr>
                <w:rFonts w:ascii="仿宋" w:hAnsi="仿宋" w:eastAsia="仿宋"/>
                <w:sz w:val="24"/>
              </w:rPr>
            </w:pPr>
            <w:r>
              <w:rPr>
                <w:rFonts w:ascii="仿宋" w:hAnsi="仿宋" w:eastAsia="仿宋"/>
                <w:sz w:val="24"/>
              </w:rPr>
              <w:t>扩大炭浆处理规模至2000吨/日，产金能力达1.8千克/日。</w:t>
            </w:r>
          </w:p>
        </w:tc>
        <w:tc>
          <w:tcPr>
            <w:tcW w:w="1238" w:type="dxa"/>
            <w:vAlign w:val="center"/>
          </w:tcPr>
          <w:p>
            <w:pPr>
              <w:spacing w:line="300" w:lineRule="exact"/>
              <w:jc w:val="center"/>
              <w:rPr>
                <w:rFonts w:ascii="仿宋" w:hAnsi="仿宋" w:eastAsia="仿宋"/>
                <w:sz w:val="24"/>
              </w:rPr>
            </w:pPr>
            <w:r>
              <w:rPr>
                <w:rFonts w:ascii="仿宋" w:hAnsi="仿宋" w:eastAsia="仿宋"/>
                <w:sz w:val="24"/>
              </w:rPr>
              <w:t>2016年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2020年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Align w:val="center"/>
          </w:tcPr>
          <w:p>
            <w:pPr>
              <w:spacing w:line="300" w:lineRule="exact"/>
              <w:rPr>
                <w:rFonts w:ascii="仿宋" w:hAnsi="仿宋" w:eastAsia="仿宋"/>
                <w:sz w:val="24"/>
              </w:rPr>
            </w:pPr>
            <w:r>
              <w:rPr>
                <w:rFonts w:ascii="仿宋" w:hAnsi="仿宋" w:eastAsia="仿宋"/>
                <w:sz w:val="24"/>
              </w:rPr>
              <w:t>湖南玉坤矿业集团公司</w:t>
            </w:r>
          </w:p>
        </w:tc>
        <w:tc>
          <w:tcPr>
            <w:tcW w:w="3780" w:type="dxa"/>
            <w:vAlign w:val="center"/>
          </w:tcPr>
          <w:p>
            <w:pPr>
              <w:spacing w:line="300" w:lineRule="exact"/>
              <w:rPr>
                <w:rFonts w:ascii="仿宋" w:hAnsi="仿宋" w:eastAsia="仿宋"/>
                <w:sz w:val="24"/>
              </w:rPr>
            </w:pPr>
            <w:r>
              <w:rPr>
                <w:rFonts w:ascii="仿宋" w:hAnsi="仿宋" w:eastAsia="仿宋"/>
                <w:sz w:val="24"/>
              </w:rPr>
              <w:t>27、现有采选规模扩建工程</w:t>
            </w:r>
          </w:p>
        </w:tc>
        <w:tc>
          <w:tcPr>
            <w:tcW w:w="4307" w:type="dxa"/>
            <w:vAlign w:val="center"/>
          </w:tcPr>
          <w:p>
            <w:pPr>
              <w:spacing w:line="300" w:lineRule="exact"/>
              <w:rPr>
                <w:rFonts w:ascii="仿宋" w:hAnsi="仿宋" w:eastAsia="仿宋"/>
                <w:sz w:val="24"/>
              </w:rPr>
            </w:pPr>
            <w:r>
              <w:rPr>
                <w:rFonts w:ascii="仿宋" w:hAnsi="仿宋" w:eastAsia="仿宋"/>
                <w:sz w:val="24"/>
              </w:rPr>
              <w:t>将现有采选规模扩大至500吨/日，以及相关配套设施建设。</w:t>
            </w:r>
          </w:p>
        </w:tc>
        <w:tc>
          <w:tcPr>
            <w:tcW w:w="1238" w:type="dxa"/>
            <w:vAlign w:val="center"/>
          </w:tcPr>
          <w:p>
            <w:pPr>
              <w:spacing w:line="300" w:lineRule="exact"/>
              <w:jc w:val="center"/>
              <w:rPr>
                <w:rFonts w:ascii="仿宋" w:hAnsi="仿宋" w:eastAsia="仿宋"/>
                <w:sz w:val="24"/>
              </w:rPr>
            </w:pPr>
            <w:r>
              <w:rPr>
                <w:rFonts w:ascii="仿宋" w:hAnsi="仿宋" w:eastAsia="仿宋"/>
                <w:sz w:val="24"/>
              </w:rPr>
              <w:t>2015年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2018年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Align w:val="center"/>
          </w:tcPr>
          <w:p>
            <w:pPr>
              <w:spacing w:line="300" w:lineRule="exact"/>
              <w:rPr>
                <w:rFonts w:ascii="仿宋" w:hAnsi="仿宋" w:eastAsia="仿宋"/>
                <w:sz w:val="24"/>
              </w:rPr>
            </w:pPr>
            <w:r>
              <w:rPr>
                <w:rFonts w:ascii="仿宋" w:hAnsi="仿宋" w:eastAsia="仿宋"/>
                <w:sz w:val="24"/>
              </w:rPr>
              <w:t>新华联醴陵正冲金矿</w:t>
            </w:r>
          </w:p>
        </w:tc>
        <w:tc>
          <w:tcPr>
            <w:tcW w:w="3780" w:type="dxa"/>
            <w:vAlign w:val="center"/>
          </w:tcPr>
          <w:p>
            <w:pPr>
              <w:spacing w:line="300" w:lineRule="exact"/>
              <w:rPr>
                <w:rFonts w:ascii="仿宋" w:hAnsi="仿宋" w:eastAsia="仿宋"/>
                <w:sz w:val="24"/>
              </w:rPr>
            </w:pPr>
            <w:r>
              <w:rPr>
                <w:rFonts w:ascii="仿宋" w:hAnsi="仿宋" w:eastAsia="仿宋"/>
                <w:sz w:val="24"/>
              </w:rPr>
              <w:t>28、现有采选规模扩建工程</w:t>
            </w:r>
          </w:p>
        </w:tc>
        <w:tc>
          <w:tcPr>
            <w:tcW w:w="4307" w:type="dxa"/>
            <w:vAlign w:val="center"/>
          </w:tcPr>
          <w:p>
            <w:pPr>
              <w:spacing w:line="300" w:lineRule="exact"/>
              <w:rPr>
                <w:rFonts w:ascii="仿宋" w:hAnsi="仿宋" w:eastAsia="仿宋"/>
                <w:sz w:val="24"/>
              </w:rPr>
            </w:pPr>
            <w:r>
              <w:rPr>
                <w:rFonts w:ascii="仿宋" w:hAnsi="仿宋" w:eastAsia="仿宋"/>
                <w:sz w:val="24"/>
              </w:rPr>
              <w:t>收购周边矿权，进行金矿资源勘查，将现有规模扩大至采选1000吨/日。</w:t>
            </w:r>
          </w:p>
        </w:tc>
        <w:tc>
          <w:tcPr>
            <w:tcW w:w="1238" w:type="dxa"/>
            <w:vAlign w:val="center"/>
          </w:tcPr>
          <w:p>
            <w:pPr>
              <w:spacing w:line="300" w:lineRule="exact"/>
              <w:jc w:val="center"/>
              <w:rPr>
                <w:rFonts w:ascii="仿宋" w:hAnsi="仿宋" w:eastAsia="仿宋"/>
                <w:sz w:val="24"/>
              </w:rPr>
            </w:pPr>
            <w:r>
              <w:rPr>
                <w:rFonts w:ascii="仿宋" w:hAnsi="仿宋" w:eastAsia="仿宋"/>
                <w:sz w:val="24"/>
              </w:rPr>
              <w:t>2016年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2020年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24730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Align w:val="center"/>
          </w:tcPr>
          <w:p>
            <w:pPr>
              <w:spacing w:line="300" w:lineRule="exact"/>
              <w:rPr>
                <w:rFonts w:ascii="仿宋" w:hAnsi="仿宋" w:eastAsia="仿宋"/>
                <w:sz w:val="24"/>
              </w:rPr>
            </w:pPr>
            <w:r>
              <w:rPr>
                <w:rFonts w:ascii="仿宋" w:hAnsi="仿宋" w:eastAsia="仿宋"/>
                <w:sz w:val="24"/>
              </w:rPr>
              <w:t>凯鑫公司平江团山洞金矿</w:t>
            </w:r>
          </w:p>
        </w:tc>
        <w:tc>
          <w:tcPr>
            <w:tcW w:w="3780" w:type="dxa"/>
            <w:vAlign w:val="center"/>
          </w:tcPr>
          <w:p>
            <w:pPr>
              <w:spacing w:line="300" w:lineRule="exact"/>
              <w:rPr>
                <w:rFonts w:ascii="仿宋" w:hAnsi="仿宋" w:eastAsia="仿宋"/>
                <w:sz w:val="24"/>
              </w:rPr>
            </w:pPr>
            <w:r>
              <w:rPr>
                <w:rFonts w:ascii="仿宋" w:hAnsi="仿宋" w:eastAsia="仿宋"/>
                <w:sz w:val="24"/>
              </w:rPr>
              <w:t>29、现有采选规模扩建工程</w:t>
            </w:r>
          </w:p>
        </w:tc>
        <w:tc>
          <w:tcPr>
            <w:tcW w:w="4307" w:type="dxa"/>
            <w:vAlign w:val="center"/>
          </w:tcPr>
          <w:p>
            <w:pPr>
              <w:spacing w:line="300" w:lineRule="exact"/>
              <w:rPr>
                <w:rFonts w:ascii="仿宋" w:hAnsi="仿宋" w:eastAsia="仿宋"/>
                <w:sz w:val="24"/>
              </w:rPr>
            </w:pPr>
            <w:r>
              <w:rPr>
                <w:rFonts w:ascii="仿宋" w:hAnsi="仿宋" w:eastAsia="仿宋"/>
                <w:sz w:val="24"/>
              </w:rPr>
              <w:t>将现有规模扩大至采选500吨/日规模，以及相关配套设施的建设。</w:t>
            </w:r>
          </w:p>
        </w:tc>
        <w:tc>
          <w:tcPr>
            <w:tcW w:w="1238" w:type="dxa"/>
            <w:vAlign w:val="center"/>
          </w:tcPr>
          <w:p>
            <w:pPr>
              <w:spacing w:line="300" w:lineRule="exact"/>
              <w:jc w:val="center"/>
              <w:rPr>
                <w:rFonts w:ascii="仿宋" w:hAnsi="仿宋" w:eastAsia="仿宋"/>
                <w:sz w:val="24"/>
              </w:rPr>
            </w:pPr>
            <w:r>
              <w:rPr>
                <w:rFonts w:ascii="仿宋" w:hAnsi="仿宋" w:eastAsia="仿宋"/>
                <w:sz w:val="24"/>
              </w:rPr>
              <w:t>2016年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2020年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Align w:val="center"/>
          </w:tcPr>
          <w:p>
            <w:pPr>
              <w:spacing w:line="300" w:lineRule="exact"/>
              <w:rPr>
                <w:rFonts w:ascii="仿宋" w:hAnsi="仿宋" w:eastAsia="仿宋"/>
                <w:sz w:val="24"/>
              </w:rPr>
            </w:pPr>
            <w:r>
              <w:rPr>
                <w:rFonts w:ascii="仿宋" w:hAnsi="仿宋" w:eastAsia="仿宋"/>
                <w:sz w:val="24"/>
              </w:rPr>
              <w:t>平江黄金总公司江东金矿</w:t>
            </w:r>
          </w:p>
        </w:tc>
        <w:tc>
          <w:tcPr>
            <w:tcW w:w="3780" w:type="dxa"/>
            <w:vAlign w:val="center"/>
          </w:tcPr>
          <w:p>
            <w:pPr>
              <w:spacing w:line="300" w:lineRule="exact"/>
              <w:rPr>
                <w:rFonts w:ascii="仿宋" w:hAnsi="仿宋" w:eastAsia="仿宋"/>
                <w:sz w:val="24"/>
              </w:rPr>
            </w:pPr>
            <w:r>
              <w:rPr>
                <w:rFonts w:ascii="仿宋" w:hAnsi="仿宋" w:eastAsia="仿宋"/>
                <w:sz w:val="24"/>
              </w:rPr>
              <w:t>30、现有采选规模扩建工程</w:t>
            </w:r>
          </w:p>
        </w:tc>
        <w:tc>
          <w:tcPr>
            <w:tcW w:w="4307" w:type="dxa"/>
            <w:vAlign w:val="center"/>
          </w:tcPr>
          <w:p>
            <w:pPr>
              <w:spacing w:line="300" w:lineRule="exact"/>
              <w:rPr>
                <w:rFonts w:ascii="仿宋" w:hAnsi="仿宋" w:eastAsia="仿宋"/>
                <w:sz w:val="24"/>
              </w:rPr>
            </w:pPr>
            <w:r>
              <w:rPr>
                <w:rFonts w:ascii="仿宋" w:hAnsi="仿宋" w:eastAsia="仿宋"/>
                <w:sz w:val="24"/>
              </w:rPr>
              <w:t>将现有规模扩大至采选400吨/日规模，以及相关配套设施的建设。</w:t>
            </w:r>
          </w:p>
        </w:tc>
        <w:tc>
          <w:tcPr>
            <w:tcW w:w="1238" w:type="dxa"/>
            <w:vAlign w:val="center"/>
          </w:tcPr>
          <w:p>
            <w:pPr>
              <w:spacing w:line="300" w:lineRule="exact"/>
              <w:jc w:val="center"/>
              <w:rPr>
                <w:rFonts w:ascii="仿宋" w:hAnsi="仿宋" w:eastAsia="仿宋"/>
                <w:sz w:val="24"/>
              </w:rPr>
            </w:pPr>
            <w:r>
              <w:rPr>
                <w:rFonts w:ascii="仿宋" w:hAnsi="仿宋" w:eastAsia="仿宋"/>
                <w:sz w:val="24"/>
              </w:rPr>
              <w:t>2016年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2018年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Align w:val="center"/>
          </w:tcPr>
          <w:p>
            <w:pPr>
              <w:spacing w:line="300" w:lineRule="exact"/>
              <w:rPr>
                <w:rFonts w:ascii="仿宋" w:hAnsi="仿宋" w:eastAsia="仿宋"/>
                <w:sz w:val="24"/>
              </w:rPr>
            </w:pPr>
            <w:r>
              <w:rPr>
                <w:rFonts w:ascii="仿宋" w:hAnsi="仿宋" w:eastAsia="仿宋"/>
                <w:sz w:val="24"/>
              </w:rPr>
              <w:t>中湘公司平江金盆岭金矿</w:t>
            </w:r>
          </w:p>
        </w:tc>
        <w:tc>
          <w:tcPr>
            <w:tcW w:w="3780" w:type="dxa"/>
            <w:vAlign w:val="center"/>
          </w:tcPr>
          <w:p>
            <w:pPr>
              <w:spacing w:line="300" w:lineRule="exact"/>
              <w:rPr>
                <w:rFonts w:ascii="仿宋" w:hAnsi="仿宋" w:eastAsia="仿宋"/>
                <w:sz w:val="24"/>
              </w:rPr>
            </w:pPr>
            <w:r>
              <w:rPr>
                <w:rFonts w:ascii="仿宋" w:hAnsi="仿宋" w:eastAsia="仿宋"/>
                <w:sz w:val="24"/>
              </w:rPr>
              <w:t>31、新建采选1000吨/日规模工程</w:t>
            </w:r>
          </w:p>
        </w:tc>
        <w:tc>
          <w:tcPr>
            <w:tcW w:w="4307" w:type="dxa"/>
            <w:vAlign w:val="center"/>
          </w:tcPr>
          <w:p>
            <w:pPr>
              <w:spacing w:line="300" w:lineRule="exact"/>
              <w:rPr>
                <w:rFonts w:ascii="仿宋" w:hAnsi="仿宋" w:eastAsia="仿宋"/>
                <w:sz w:val="24"/>
              </w:rPr>
            </w:pPr>
            <w:r>
              <w:rPr>
                <w:rFonts w:ascii="仿宋" w:hAnsi="仿宋" w:eastAsia="仿宋"/>
                <w:sz w:val="24"/>
              </w:rPr>
              <w:t>工程分二期建设，每期500吨/日规模，地上地下同步进行。</w:t>
            </w:r>
          </w:p>
        </w:tc>
        <w:tc>
          <w:tcPr>
            <w:tcW w:w="1238" w:type="dxa"/>
            <w:vAlign w:val="center"/>
          </w:tcPr>
          <w:p>
            <w:pPr>
              <w:spacing w:line="300" w:lineRule="exact"/>
              <w:jc w:val="center"/>
              <w:rPr>
                <w:rFonts w:ascii="仿宋" w:hAnsi="仿宋" w:eastAsia="仿宋"/>
                <w:sz w:val="24"/>
              </w:rPr>
            </w:pPr>
            <w:r>
              <w:rPr>
                <w:rFonts w:ascii="仿宋" w:hAnsi="仿宋" w:eastAsia="仿宋"/>
                <w:sz w:val="24"/>
              </w:rPr>
              <w:t>2015年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2020年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2" w:type="dxa"/>
            <w:vAlign w:val="center"/>
          </w:tcPr>
          <w:p>
            <w:pPr>
              <w:spacing w:line="300" w:lineRule="exact"/>
              <w:rPr>
                <w:rFonts w:ascii="仿宋" w:hAnsi="仿宋" w:eastAsia="仿宋"/>
                <w:sz w:val="24"/>
              </w:rPr>
            </w:pPr>
            <w:r>
              <w:rPr>
                <w:rFonts w:ascii="仿宋" w:hAnsi="仿宋" w:eastAsia="仿宋"/>
                <w:sz w:val="24"/>
              </w:rPr>
              <w:t>五矿铜业（湖南）有限公司</w:t>
            </w:r>
          </w:p>
        </w:tc>
        <w:tc>
          <w:tcPr>
            <w:tcW w:w="3780" w:type="dxa"/>
            <w:vAlign w:val="center"/>
          </w:tcPr>
          <w:p>
            <w:pPr>
              <w:spacing w:line="300" w:lineRule="exact"/>
              <w:rPr>
                <w:rFonts w:ascii="仿宋" w:hAnsi="仿宋" w:eastAsia="仿宋"/>
                <w:sz w:val="24"/>
              </w:rPr>
            </w:pPr>
            <w:r>
              <w:rPr>
                <w:rFonts w:ascii="仿宋" w:hAnsi="仿宋" w:eastAsia="仿宋"/>
                <w:sz w:val="24"/>
              </w:rPr>
              <w:t>32、40万吨/年金铜冶炼建设工程</w:t>
            </w:r>
          </w:p>
        </w:tc>
        <w:tc>
          <w:tcPr>
            <w:tcW w:w="4307" w:type="dxa"/>
            <w:vAlign w:val="center"/>
          </w:tcPr>
          <w:p>
            <w:pPr>
              <w:spacing w:line="300" w:lineRule="exact"/>
              <w:rPr>
                <w:rFonts w:ascii="仿宋" w:hAnsi="仿宋" w:eastAsia="仿宋"/>
                <w:sz w:val="24"/>
              </w:rPr>
            </w:pPr>
            <w:r>
              <w:rPr>
                <w:rFonts w:ascii="仿宋" w:hAnsi="仿宋" w:eastAsia="仿宋"/>
                <w:sz w:val="24"/>
              </w:rPr>
              <w:t>金铜项目年处理含铜、金、银、硫等物料40万吨，年产铜10万吨、金2吨、银200吨。</w:t>
            </w:r>
          </w:p>
        </w:tc>
        <w:tc>
          <w:tcPr>
            <w:tcW w:w="1238" w:type="dxa"/>
            <w:vAlign w:val="center"/>
          </w:tcPr>
          <w:p>
            <w:pPr>
              <w:spacing w:line="300" w:lineRule="exact"/>
              <w:jc w:val="center"/>
              <w:rPr>
                <w:rFonts w:ascii="仿宋" w:hAnsi="仿宋" w:eastAsia="仿宋"/>
                <w:sz w:val="24"/>
              </w:rPr>
            </w:pPr>
            <w:r>
              <w:rPr>
                <w:rFonts w:ascii="仿宋" w:hAnsi="仿宋" w:eastAsia="仿宋"/>
                <w:sz w:val="24"/>
              </w:rPr>
              <w:t>2013年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2020年</w:t>
            </w:r>
          </w:p>
        </w:tc>
        <w:tc>
          <w:tcPr>
            <w:tcW w:w="1239" w:type="dxa"/>
            <w:vAlign w:val="center"/>
          </w:tcPr>
          <w:p>
            <w:pPr>
              <w:spacing w:line="300" w:lineRule="exact"/>
              <w:jc w:val="center"/>
              <w:rPr>
                <w:rFonts w:ascii="仿宋" w:hAnsi="仿宋" w:eastAsia="仿宋"/>
                <w:sz w:val="24"/>
              </w:rPr>
            </w:pPr>
            <w:r>
              <w:rPr>
                <w:rFonts w:ascii="仿宋" w:hAnsi="仿宋" w:eastAsia="仿宋"/>
                <w:sz w:val="24"/>
              </w:rPr>
              <w:t>300000</w:t>
            </w:r>
          </w:p>
        </w:tc>
      </w:tr>
    </w:tbl>
    <w:p>
      <w:pPr>
        <w:pStyle w:val="13"/>
        <w:spacing w:line="600" w:lineRule="exact"/>
        <w:ind w:firstLine="640" w:firstLineChars="200"/>
        <w:rPr>
          <w:rFonts w:ascii="仿宋" w:hAnsi="仿宋" w:eastAsia="仿宋"/>
          <w:kern w:val="2"/>
          <w:sz w:val="32"/>
          <w:szCs w:val="32"/>
        </w:rPr>
      </w:pPr>
    </w:p>
    <w:p>
      <w:pPr>
        <w:pStyle w:val="13"/>
        <w:spacing w:line="600" w:lineRule="exact"/>
        <w:rPr>
          <w:rFonts w:ascii="仿宋" w:hAnsi="仿宋" w:eastAsia="仿宋"/>
          <w:kern w:val="2"/>
          <w:sz w:val="32"/>
          <w:szCs w:val="32"/>
        </w:rPr>
      </w:pPr>
      <w:r>
        <w:rPr>
          <w:rFonts w:ascii="仿宋" w:hAnsi="仿宋" w:eastAsia="仿宋"/>
          <w:kern w:val="2"/>
          <w:sz w:val="32"/>
          <w:szCs w:val="32"/>
        </w:rPr>
        <w:br w:type="page"/>
      </w:r>
      <w:r>
        <w:rPr>
          <w:rFonts w:hint="eastAsia" w:ascii="黑体" w:hAnsi="黑体" w:eastAsia="黑体"/>
          <w:kern w:val="2"/>
          <w:sz w:val="32"/>
          <w:szCs w:val="32"/>
        </w:rPr>
        <w:t>附表2</w:t>
      </w:r>
    </w:p>
    <w:p>
      <w:pPr>
        <w:pStyle w:val="13"/>
        <w:spacing w:line="600" w:lineRule="exact"/>
        <w:jc w:val="center"/>
        <w:rPr>
          <w:rFonts w:ascii="仿宋" w:hAnsi="仿宋" w:eastAsia="仿宋"/>
          <w:kern w:val="2"/>
          <w:sz w:val="44"/>
          <w:szCs w:val="44"/>
        </w:rPr>
      </w:pPr>
      <w:r>
        <w:rPr>
          <w:rFonts w:hint="eastAsia" w:ascii="仿宋" w:hAnsi="仿宋" w:eastAsia="仿宋"/>
          <w:kern w:val="2"/>
          <w:sz w:val="44"/>
          <w:szCs w:val="44"/>
        </w:rPr>
        <w:t>湖南黄金“十三五”地质探矿重点项目规划表</w:t>
      </w:r>
    </w:p>
    <w:p>
      <w:pPr>
        <w:pStyle w:val="13"/>
        <w:spacing w:line="600" w:lineRule="exact"/>
        <w:ind w:firstLine="640" w:firstLineChars="200"/>
        <w:jc w:val="right"/>
        <w:rPr>
          <w:rFonts w:ascii="仿宋" w:hAnsi="仿宋" w:eastAsia="仿宋"/>
          <w:kern w:val="2"/>
          <w:sz w:val="32"/>
          <w:szCs w:val="32"/>
        </w:rPr>
      </w:pPr>
      <w:r>
        <w:rPr>
          <w:rFonts w:hint="eastAsia" w:ascii="仿宋" w:hAnsi="仿宋" w:eastAsia="仿宋"/>
          <w:kern w:val="2"/>
          <w:sz w:val="32"/>
          <w:szCs w:val="32"/>
        </w:rPr>
        <w:t>单位：万元</w:t>
      </w:r>
    </w:p>
    <w:tbl>
      <w:tblPr>
        <w:tblStyle w:val="8"/>
        <w:tblW w:w="13984"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7056"/>
        <w:gridCol w:w="1877"/>
        <w:gridCol w:w="1276"/>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068" w:type="dxa"/>
            <w:vAlign w:val="center"/>
          </w:tcPr>
          <w:p>
            <w:pPr>
              <w:spacing w:line="280" w:lineRule="exact"/>
              <w:jc w:val="center"/>
              <w:rPr>
                <w:rFonts w:ascii="仿宋" w:hAnsi="仿宋" w:eastAsia="仿宋"/>
                <w:sz w:val="24"/>
              </w:rPr>
            </w:pPr>
            <w:r>
              <w:rPr>
                <w:rFonts w:hint="eastAsia" w:ascii="仿宋" w:hAnsi="仿宋" w:eastAsia="仿宋"/>
                <w:sz w:val="24"/>
              </w:rPr>
              <w:t>单位名称</w:t>
            </w:r>
          </w:p>
        </w:tc>
        <w:tc>
          <w:tcPr>
            <w:tcW w:w="7056" w:type="dxa"/>
            <w:vAlign w:val="center"/>
          </w:tcPr>
          <w:p>
            <w:pPr>
              <w:spacing w:line="280" w:lineRule="exact"/>
              <w:jc w:val="center"/>
              <w:rPr>
                <w:rFonts w:ascii="仿宋" w:hAnsi="仿宋" w:eastAsia="仿宋"/>
                <w:sz w:val="24"/>
              </w:rPr>
            </w:pPr>
            <w:r>
              <w:rPr>
                <w:rFonts w:hint="eastAsia" w:ascii="仿宋" w:hAnsi="仿宋" w:eastAsia="仿宋"/>
                <w:sz w:val="24"/>
              </w:rPr>
              <w:t>项目名称</w:t>
            </w:r>
          </w:p>
        </w:tc>
        <w:tc>
          <w:tcPr>
            <w:tcW w:w="1877" w:type="dxa"/>
            <w:vAlign w:val="center"/>
          </w:tcPr>
          <w:p>
            <w:pPr>
              <w:spacing w:line="280" w:lineRule="exact"/>
              <w:jc w:val="center"/>
              <w:rPr>
                <w:rFonts w:ascii="仿宋" w:hAnsi="仿宋" w:eastAsia="仿宋"/>
                <w:sz w:val="24"/>
              </w:rPr>
            </w:pPr>
            <w:r>
              <w:rPr>
                <w:rFonts w:hint="eastAsia" w:ascii="仿宋" w:hAnsi="仿宋" w:eastAsia="仿宋"/>
                <w:sz w:val="24"/>
              </w:rPr>
              <w:t>起止时间</w:t>
            </w:r>
          </w:p>
        </w:tc>
        <w:tc>
          <w:tcPr>
            <w:tcW w:w="1276" w:type="dxa"/>
            <w:vAlign w:val="center"/>
          </w:tcPr>
          <w:p>
            <w:pPr>
              <w:spacing w:line="280" w:lineRule="exact"/>
              <w:jc w:val="center"/>
              <w:rPr>
                <w:rFonts w:ascii="仿宋" w:hAnsi="仿宋" w:eastAsia="仿宋"/>
                <w:sz w:val="24"/>
              </w:rPr>
            </w:pPr>
            <w:r>
              <w:rPr>
                <w:rFonts w:hint="eastAsia" w:ascii="仿宋" w:hAnsi="仿宋" w:eastAsia="仿宋"/>
                <w:sz w:val="24"/>
              </w:rPr>
              <w:t>投资金额</w:t>
            </w:r>
          </w:p>
        </w:tc>
        <w:tc>
          <w:tcPr>
            <w:tcW w:w="1707" w:type="dxa"/>
            <w:vAlign w:val="center"/>
          </w:tcPr>
          <w:p>
            <w:pPr>
              <w:spacing w:line="280" w:lineRule="exact"/>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068" w:type="dxa"/>
            <w:vAlign w:val="center"/>
          </w:tcPr>
          <w:p>
            <w:pPr>
              <w:spacing w:line="280" w:lineRule="exact"/>
              <w:jc w:val="center"/>
              <w:rPr>
                <w:rFonts w:ascii="仿宋" w:hAnsi="仿宋" w:eastAsia="仿宋"/>
                <w:sz w:val="24"/>
              </w:rPr>
            </w:pPr>
            <w:r>
              <w:rPr>
                <w:rFonts w:ascii="仿宋" w:hAnsi="仿宋" w:eastAsia="仿宋"/>
                <w:sz w:val="24"/>
              </w:rPr>
              <w:t>全省</w:t>
            </w:r>
          </w:p>
        </w:tc>
        <w:tc>
          <w:tcPr>
            <w:tcW w:w="7056" w:type="dxa"/>
            <w:vAlign w:val="center"/>
          </w:tcPr>
          <w:p>
            <w:pPr>
              <w:spacing w:line="280" w:lineRule="exact"/>
              <w:jc w:val="center"/>
              <w:rPr>
                <w:rFonts w:ascii="仿宋" w:hAnsi="仿宋" w:eastAsia="仿宋"/>
                <w:sz w:val="24"/>
              </w:rPr>
            </w:pPr>
            <w:r>
              <w:rPr>
                <w:rFonts w:ascii="仿宋" w:hAnsi="仿宋" w:eastAsia="仿宋"/>
                <w:sz w:val="24"/>
              </w:rPr>
              <w:t>地质探矿勘查工程项目</w:t>
            </w:r>
          </w:p>
        </w:tc>
        <w:tc>
          <w:tcPr>
            <w:tcW w:w="1877" w:type="dxa"/>
          </w:tcPr>
          <w:p>
            <w:pPr>
              <w:spacing w:line="280" w:lineRule="exact"/>
              <w:rPr>
                <w:rFonts w:ascii="仿宋" w:hAnsi="仿宋" w:eastAsia="仿宋"/>
                <w:sz w:val="24"/>
              </w:rPr>
            </w:pPr>
          </w:p>
        </w:tc>
        <w:tc>
          <w:tcPr>
            <w:tcW w:w="1276" w:type="dxa"/>
            <w:vAlign w:val="center"/>
          </w:tcPr>
          <w:p>
            <w:pPr>
              <w:spacing w:line="280" w:lineRule="exact"/>
              <w:jc w:val="center"/>
              <w:rPr>
                <w:rFonts w:ascii="仿宋" w:hAnsi="仿宋" w:eastAsia="仿宋"/>
                <w:sz w:val="24"/>
              </w:rPr>
            </w:pPr>
            <w:r>
              <w:rPr>
                <w:rFonts w:ascii="仿宋" w:hAnsi="仿宋" w:eastAsia="仿宋"/>
                <w:sz w:val="24"/>
              </w:rPr>
              <w:t>86600</w:t>
            </w:r>
          </w:p>
        </w:tc>
        <w:tc>
          <w:tcPr>
            <w:tcW w:w="1707" w:type="dxa"/>
            <w:vMerge w:val="restart"/>
            <w:vAlign w:val="center"/>
          </w:tcPr>
          <w:p>
            <w:pPr>
              <w:spacing w:line="280" w:lineRule="exact"/>
              <w:rPr>
                <w:rFonts w:ascii="仿宋" w:hAnsi="仿宋" w:eastAsia="仿宋"/>
                <w:sz w:val="24"/>
              </w:rPr>
            </w:pPr>
            <w:r>
              <w:rPr>
                <w:rFonts w:ascii="仿宋" w:hAnsi="仿宋" w:eastAsia="仿宋"/>
                <w:sz w:val="24"/>
              </w:rPr>
              <w:t>均为企业自筹资金。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068" w:type="dxa"/>
            <w:vAlign w:val="center"/>
          </w:tcPr>
          <w:p>
            <w:pPr>
              <w:spacing w:line="280" w:lineRule="exact"/>
              <w:jc w:val="center"/>
              <w:rPr>
                <w:rFonts w:ascii="仿宋" w:hAnsi="仿宋" w:eastAsia="仿宋"/>
                <w:sz w:val="24"/>
              </w:rPr>
            </w:pPr>
            <w:r>
              <w:rPr>
                <w:rFonts w:ascii="仿宋" w:hAnsi="仿宋" w:eastAsia="仿宋"/>
                <w:sz w:val="24"/>
              </w:rPr>
              <w:t>辰州矿业有限</w:t>
            </w:r>
          </w:p>
          <w:p>
            <w:pPr>
              <w:spacing w:line="280" w:lineRule="exact"/>
              <w:jc w:val="center"/>
              <w:rPr>
                <w:rFonts w:ascii="仿宋" w:hAnsi="仿宋" w:eastAsia="仿宋"/>
                <w:sz w:val="24"/>
              </w:rPr>
            </w:pPr>
            <w:r>
              <w:rPr>
                <w:rFonts w:ascii="仿宋" w:hAnsi="仿宋" w:eastAsia="仿宋"/>
                <w:sz w:val="24"/>
              </w:rPr>
              <w:t>责任公司</w:t>
            </w:r>
          </w:p>
          <w:p>
            <w:pPr>
              <w:spacing w:line="280" w:lineRule="exact"/>
              <w:jc w:val="center"/>
              <w:rPr>
                <w:rFonts w:ascii="仿宋" w:hAnsi="仿宋" w:eastAsia="仿宋"/>
                <w:sz w:val="24"/>
              </w:rPr>
            </w:pPr>
          </w:p>
        </w:tc>
        <w:tc>
          <w:tcPr>
            <w:tcW w:w="7056" w:type="dxa"/>
          </w:tcPr>
          <w:p>
            <w:pPr>
              <w:spacing w:line="280" w:lineRule="exact"/>
              <w:ind w:left="480" w:hanging="480" w:hangingChars="200"/>
              <w:rPr>
                <w:rFonts w:ascii="仿宋" w:hAnsi="仿宋" w:eastAsia="仿宋"/>
                <w:sz w:val="24"/>
              </w:rPr>
            </w:pPr>
            <w:r>
              <w:rPr>
                <w:rFonts w:ascii="仿宋" w:hAnsi="仿宋" w:eastAsia="仿宋"/>
                <w:sz w:val="24"/>
              </w:rPr>
              <w:t>1、公司本部两坑口及矿山类子公司探矿增储项目（含探矿权、采矿权范围内地探、生探等工程）。</w:t>
            </w:r>
          </w:p>
        </w:tc>
        <w:tc>
          <w:tcPr>
            <w:tcW w:w="1877" w:type="dxa"/>
            <w:vAlign w:val="center"/>
          </w:tcPr>
          <w:p>
            <w:pPr>
              <w:spacing w:line="280" w:lineRule="exact"/>
              <w:jc w:val="center"/>
              <w:rPr>
                <w:rFonts w:ascii="仿宋" w:hAnsi="仿宋" w:eastAsia="仿宋"/>
                <w:sz w:val="24"/>
              </w:rPr>
            </w:pPr>
            <w:r>
              <w:rPr>
                <w:rFonts w:ascii="仿宋" w:hAnsi="仿宋" w:eastAsia="仿宋"/>
                <w:sz w:val="24"/>
              </w:rPr>
              <w:t>2016---2020年</w:t>
            </w:r>
          </w:p>
        </w:tc>
        <w:tc>
          <w:tcPr>
            <w:tcW w:w="1276" w:type="dxa"/>
            <w:vAlign w:val="center"/>
          </w:tcPr>
          <w:p>
            <w:pPr>
              <w:spacing w:line="280" w:lineRule="exact"/>
              <w:jc w:val="center"/>
              <w:rPr>
                <w:rFonts w:ascii="仿宋" w:hAnsi="仿宋" w:eastAsia="仿宋"/>
                <w:sz w:val="24"/>
              </w:rPr>
            </w:pPr>
            <w:r>
              <w:rPr>
                <w:rFonts w:ascii="仿宋" w:hAnsi="仿宋" w:eastAsia="仿宋"/>
                <w:sz w:val="24"/>
              </w:rPr>
              <w:t>60000</w:t>
            </w:r>
          </w:p>
        </w:tc>
        <w:tc>
          <w:tcPr>
            <w:tcW w:w="1707" w:type="dxa"/>
            <w:vMerge w:val="continue"/>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068" w:type="dxa"/>
            <w:vAlign w:val="center"/>
          </w:tcPr>
          <w:p>
            <w:pPr>
              <w:spacing w:line="280" w:lineRule="exact"/>
              <w:jc w:val="center"/>
              <w:rPr>
                <w:rFonts w:ascii="仿宋" w:hAnsi="仿宋" w:eastAsia="仿宋"/>
                <w:sz w:val="24"/>
              </w:rPr>
            </w:pPr>
            <w:r>
              <w:rPr>
                <w:rFonts w:ascii="仿宋" w:hAnsi="仿宋" w:eastAsia="仿宋"/>
                <w:sz w:val="24"/>
              </w:rPr>
              <w:t>新龙矿业有限</w:t>
            </w:r>
          </w:p>
          <w:p>
            <w:pPr>
              <w:spacing w:line="280" w:lineRule="exact"/>
              <w:jc w:val="center"/>
              <w:rPr>
                <w:rFonts w:ascii="仿宋" w:hAnsi="仿宋" w:eastAsia="仿宋"/>
                <w:sz w:val="24"/>
              </w:rPr>
            </w:pPr>
            <w:r>
              <w:rPr>
                <w:rFonts w:ascii="仿宋" w:hAnsi="仿宋" w:eastAsia="仿宋"/>
                <w:sz w:val="24"/>
              </w:rPr>
              <w:t>责任公司</w:t>
            </w:r>
          </w:p>
        </w:tc>
        <w:tc>
          <w:tcPr>
            <w:tcW w:w="7056" w:type="dxa"/>
          </w:tcPr>
          <w:p>
            <w:pPr>
              <w:numPr>
                <w:ilvl w:val="0"/>
                <w:numId w:val="1"/>
              </w:numPr>
              <w:spacing w:line="280" w:lineRule="exact"/>
              <w:rPr>
                <w:rFonts w:ascii="仿宋" w:hAnsi="仿宋" w:eastAsia="仿宋"/>
                <w:sz w:val="24"/>
              </w:rPr>
            </w:pPr>
            <w:r>
              <w:rPr>
                <w:rFonts w:ascii="仿宋" w:hAnsi="仿宋" w:eastAsia="仿宋"/>
                <w:sz w:val="24"/>
              </w:rPr>
              <w:t>龙山金锑矿接替资源详查工程项目（1000万元）。</w:t>
            </w:r>
          </w:p>
          <w:p>
            <w:pPr>
              <w:numPr>
                <w:ilvl w:val="0"/>
                <w:numId w:val="1"/>
              </w:numPr>
              <w:spacing w:line="280" w:lineRule="exact"/>
              <w:rPr>
                <w:rFonts w:ascii="仿宋" w:hAnsi="仿宋" w:eastAsia="仿宋"/>
                <w:sz w:val="24"/>
              </w:rPr>
            </w:pPr>
            <w:r>
              <w:rPr>
                <w:rFonts w:ascii="仿宋" w:hAnsi="仿宋" w:eastAsia="仿宋"/>
                <w:sz w:val="24"/>
              </w:rPr>
              <w:t>牛头寨矿区锑矿普查工程项目（1000万元）。</w:t>
            </w:r>
          </w:p>
          <w:p>
            <w:pPr>
              <w:numPr>
                <w:ilvl w:val="0"/>
                <w:numId w:val="1"/>
              </w:numPr>
              <w:spacing w:line="280" w:lineRule="exact"/>
              <w:rPr>
                <w:rFonts w:ascii="仿宋" w:hAnsi="仿宋" w:eastAsia="仿宋"/>
                <w:sz w:val="24"/>
              </w:rPr>
            </w:pPr>
            <w:r>
              <w:rPr>
                <w:rFonts w:ascii="仿宋" w:hAnsi="仿宋" w:eastAsia="仿宋"/>
                <w:sz w:val="24"/>
              </w:rPr>
              <w:t>隆回金杏矿区深部金矿勘探及周边普查项目（1000万元）。</w:t>
            </w:r>
          </w:p>
        </w:tc>
        <w:tc>
          <w:tcPr>
            <w:tcW w:w="1877" w:type="dxa"/>
            <w:vAlign w:val="center"/>
          </w:tcPr>
          <w:p>
            <w:pPr>
              <w:spacing w:line="280" w:lineRule="exact"/>
              <w:jc w:val="center"/>
              <w:rPr>
                <w:rFonts w:ascii="仿宋" w:hAnsi="仿宋" w:eastAsia="仿宋"/>
                <w:sz w:val="24"/>
              </w:rPr>
            </w:pPr>
            <w:r>
              <w:rPr>
                <w:rFonts w:ascii="仿宋" w:hAnsi="仿宋" w:eastAsia="仿宋"/>
                <w:sz w:val="24"/>
              </w:rPr>
              <w:t>2016---2020年</w:t>
            </w:r>
          </w:p>
        </w:tc>
        <w:tc>
          <w:tcPr>
            <w:tcW w:w="1276" w:type="dxa"/>
            <w:vAlign w:val="center"/>
          </w:tcPr>
          <w:p>
            <w:pPr>
              <w:spacing w:line="280" w:lineRule="exact"/>
              <w:jc w:val="center"/>
              <w:rPr>
                <w:rFonts w:ascii="仿宋" w:hAnsi="仿宋" w:eastAsia="仿宋"/>
                <w:sz w:val="24"/>
              </w:rPr>
            </w:pPr>
            <w:r>
              <w:rPr>
                <w:rFonts w:ascii="仿宋" w:hAnsi="仿宋" w:eastAsia="仿宋"/>
                <w:sz w:val="24"/>
              </w:rPr>
              <w:t>3000</w:t>
            </w:r>
          </w:p>
        </w:tc>
        <w:tc>
          <w:tcPr>
            <w:tcW w:w="1707" w:type="dxa"/>
            <w:vMerge w:val="continue"/>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068" w:type="dxa"/>
            <w:vAlign w:val="center"/>
          </w:tcPr>
          <w:p>
            <w:pPr>
              <w:spacing w:line="280" w:lineRule="exact"/>
              <w:jc w:val="center"/>
              <w:rPr>
                <w:rFonts w:ascii="仿宋" w:hAnsi="仿宋" w:eastAsia="仿宋"/>
                <w:sz w:val="24"/>
              </w:rPr>
            </w:pPr>
            <w:r>
              <w:rPr>
                <w:rFonts w:ascii="仿宋" w:hAnsi="仿宋" w:eastAsia="仿宋"/>
                <w:sz w:val="24"/>
              </w:rPr>
              <w:t>黄金洞矿业</w:t>
            </w:r>
            <w:r>
              <w:rPr>
                <w:rFonts w:hint="eastAsia" w:ascii="仿宋" w:hAnsi="仿宋" w:eastAsia="仿宋"/>
                <w:sz w:val="24"/>
              </w:rPr>
              <w:t>有限责任公司</w:t>
            </w:r>
          </w:p>
        </w:tc>
        <w:tc>
          <w:tcPr>
            <w:tcW w:w="7056" w:type="dxa"/>
          </w:tcPr>
          <w:p>
            <w:pPr>
              <w:numPr>
                <w:ilvl w:val="0"/>
                <w:numId w:val="1"/>
              </w:numPr>
              <w:spacing w:line="280" w:lineRule="exact"/>
              <w:rPr>
                <w:rFonts w:ascii="仿宋" w:hAnsi="仿宋" w:eastAsia="仿宋"/>
                <w:sz w:val="24"/>
              </w:rPr>
            </w:pPr>
            <w:r>
              <w:rPr>
                <w:rFonts w:ascii="仿宋" w:hAnsi="仿宋" w:eastAsia="仿宋"/>
                <w:sz w:val="24"/>
              </w:rPr>
              <w:t>黄金洞金矿区外围普查工程项目（2000万元）。</w:t>
            </w:r>
          </w:p>
          <w:p>
            <w:pPr>
              <w:numPr>
                <w:ilvl w:val="0"/>
                <w:numId w:val="1"/>
              </w:numPr>
              <w:spacing w:line="280" w:lineRule="exact"/>
              <w:rPr>
                <w:rFonts w:ascii="仿宋" w:hAnsi="仿宋" w:eastAsia="仿宋"/>
                <w:sz w:val="24"/>
              </w:rPr>
            </w:pPr>
            <w:r>
              <w:rPr>
                <w:rFonts w:ascii="仿宋" w:hAnsi="仿宋" w:eastAsia="仿宋"/>
                <w:sz w:val="24"/>
              </w:rPr>
              <w:t>摇钱坡矿区金矿详查工程项目（1000万元）。</w:t>
            </w:r>
          </w:p>
          <w:p>
            <w:pPr>
              <w:numPr>
                <w:ilvl w:val="0"/>
                <w:numId w:val="1"/>
              </w:numPr>
              <w:spacing w:line="280" w:lineRule="exact"/>
              <w:rPr>
                <w:rFonts w:ascii="仿宋" w:hAnsi="仿宋" w:eastAsia="仿宋"/>
                <w:sz w:val="24"/>
              </w:rPr>
            </w:pPr>
            <w:r>
              <w:rPr>
                <w:rFonts w:ascii="仿宋" w:hAnsi="仿宋" w:eastAsia="仿宋"/>
                <w:sz w:val="24"/>
              </w:rPr>
              <w:t>张家洞矿区金矿详查工程项目（4000万元）。</w:t>
            </w:r>
          </w:p>
          <w:p>
            <w:pPr>
              <w:numPr>
                <w:ilvl w:val="0"/>
                <w:numId w:val="1"/>
              </w:numPr>
              <w:spacing w:line="280" w:lineRule="exact"/>
              <w:rPr>
                <w:rFonts w:ascii="仿宋" w:hAnsi="仿宋" w:eastAsia="仿宋"/>
                <w:sz w:val="24"/>
              </w:rPr>
            </w:pPr>
            <w:r>
              <w:rPr>
                <w:rFonts w:ascii="仿宋" w:hAnsi="仿宋" w:eastAsia="仿宋"/>
                <w:sz w:val="24"/>
              </w:rPr>
              <w:t>罗家塘矿区金矿普查及详查工程项目（1500万元）。</w:t>
            </w:r>
          </w:p>
          <w:p>
            <w:pPr>
              <w:numPr>
                <w:ilvl w:val="0"/>
                <w:numId w:val="1"/>
              </w:numPr>
              <w:spacing w:line="280" w:lineRule="exact"/>
              <w:rPr>
                <w:rFonts w:ascii="仿宋" w:hAnsi="仿宋" w:eastAsia="仿宋"/>
                <w:sz w:val="24"/>
              </w:rPr>
            </w:pPr>
            <w:r>
              <w:rPr>
                <w:rFonts w:ascii="仿宋" w:hAnsi="仿宋" w:eastAsia="仿宋"/>
                <w:sz w:val="24"/>
              </w:rPr>
              <w:t>浏阳枨冲矿区外围金矿普查及详查工程项目（1500万元）。</w:t>
            </w:r>
          </w:p>
        </w:tc>
        <w:tc>
          <w:tcPr>
            <w:tcW w:w="1877" w:type="dxa"/>
            <w:vAlign w:val="center"/>
          </w:tcPr>
          <w:p>
            <w:pPr>
              <w:spacing w:line="280" w:lineRule="exact"/>
              <w:jc w:val="center"/>
              <w:rPr>
                <w:rFonts w:ascii="仿宋" w:hAnsi="仿宋" w:eastAsia="仿宋"/>
                <w:sz w:val="24"/>
              </w:rPr>
            </w:pPr>
            <w:r>
              <w:rPr>
                <w:rFonts w:ascii="仿宋" w:hAnsi="仿宋" w:eastAsia="仿宋"/>
                <w:sz w:val="24"/>
              </w:rPr>
              <w:t>2015---2020年</w:t>
            </w:r>
          </w:p>
        </w:tc>
        <w:tc>
          <w:tcPr>
            <w:tcW w:w="1276" w:type="dxa"/>
            <w:vAlign w:val="center"/>
          </w:tcPr>
          <w:p>
            <w:pPr>
              <w:spacing w:line="280" w:lineRule="exact"/>
              <w:jc w:val="center"/>
              <w:rPr>
                <w:rFonts w:ascii="仿宋" w:hAnsi="仿宋" w:eastAsia="仿宋"/>
                <w:sz w:val="24"/>
              </w:rPr>
            </w:pPr>
            <w:r>
              <w:rPr>
                <w:rFonts w:ascii="仿宋" w:hAnsi="仿宋" w:eastAsia="仿宋"/>
                <w:sz w:val="24"/>
              </w:rPr>
              <w:t>10000</w:t>
            </w:r>
          </w:p>
        </w:tc>
        <w:tc>
          <w:tcPr>
            <w:tcW w:w="1707" w:type="dxa"/>
            <w:vMerge w:val="continue"/>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068" w:type="dxa"/>
            <w:vAlign w:val="center"/>
          </w:tcPr>
          <w:p>
            <w:pPr>
              <w:spacing w:line="280" w:lineRule="exact"/>
              <w:jc w:val="center"/>
              <w:rPr>
                <w:rFonts w:ascii="仿宋" w:hAnsi="仿宋" w:eastAsia="仿宋"/>
                <w:sz w:val="24"/>
              </w:rPr>
            </w:pPr>
            <w:r>
              <w:rPr>
                <w:rFonts w:ascii="仿宋" w:hAnsi="仿宋" w:eastAsia="仿宋"/>
                <w:sz w:val="24"/>
              </w:rPr>
              <w:t>常宁龙鑫矿业</w:t>
            </w:r>
          </w:p>
          <w:p>
            <w:pPr>
              <w:spacing w:line="280" w:lineRule="exact"/>
              <w:jc w:val="center"/>
              <w:rPr>
                <w:rFonts w:ascii="仿宋" w:hAnsi="仿宋" w:eastAsia="仿宋"/>
                <w:sz w:val="24"/>
              </w:rPr>
            </w:pPr>
            <w:r>
              <w:rPr>
                <w:rFonts w:hint="eastAsia" w:ascii="仿宋" w:hAnsi="仿宋" w:eastAsia="仿宋"/>
                <w:sz w:val="24"/>
              </w:rPr>
              <w:t>有限公司</w:t>
            </w:r>
          </w:p>
        </w:tc>
        <w:tc>
          <w:tcPr>
            <w:tcW w:w="7056" w:type="dxa"/>
          </w:tcPr>
          <w:p>
            <w:pPr>
              <w:spacing w:line="280" w:lineRule="exact"/>
              <w:rPr>
                <w:rFonts w:ascii="仿宋" w:hAnsi="仿宋" w:eastAsia="仿宋"/>
                <w:sz w:val="24"/>
              </w:rPr>
            </w:pPr>
            <w:r>
              <w:rPr>
                <w:rFonts w:ascii="仿宋" w:hAnsi="仿宋" w:eastAsia="仿宋"/>
                <w:sz w:val="24"/>
              </w:rPr>
              <w:t>10、龙王山矿区0米标高以下探矿勘查工程项目。</w:t>
            </w:r>
          </w:p>
        </w:tc>
        <w:tc>
          <w:tcPr>
            <w:tcW w:w="1877" w:type="dxa"/>
            <w:vAlign w:val="center"/>
          </w:tcPr>
          <w:p>
            <w:pPr>
              <w:spacing w:line="280" w:lineRule="exact"/>
              <w:jc w:val="center"/>
              <w:rPr>
                <w:rFonts w:ascii="仿宋" w:hAnsi="仿宋" w:eastAsia="仿宋"/>
                <w:sz w:val="24"/>
              </w:rPr>
            </w:pPr>
            <w:r>
              <w:rPr>
                <w:rFonts w:ascii="仿宋" w:hAnsi="仿宋" w:eastAsia="仿宋"/>
                <w:sz w:val="24"/>
              </w:rPr>
              <w:t>2016---2020年</w:t>
            </w:r>
          </w:p>
        </w:tc>
        <w:tc>
          <w:tcPr>
            <w:tcW w:w="1276" w:type="dxa"/>
            <w:vAlign w:val="center"/>
          </w:tcPr>
          <w:p>
            <w:pPr>
              <w:spacing w:line="280" w:lineRule="exact"/>
              <w:jc w:val="center"/>
              <w:rPr>
                <w:rFonts w:ascii="仿宋" w:hAnsi="仿宋" w:eastAsia="仿宋"/>
                <w:sz w:val="24"/>
              </w:rPr>
            </w:pPr>
            <w:r>
              <w:rPr>
                <w:rFonts w:ascii="仿宋" w:hAnsi="仿宋" w:eastAsia="仿宋"/>
                <w:sz w:val="24"/>
              </w:rPr>
              <w:t>600</w:t>
            </w:r>
          </w:p>
        </w:tc>
        <w:tc>
          <w:tcPr>
            <w:tcW w:w="1707" w:type="dxa"/>
            <w:vMerge w:val="continue"/>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068" w:type="dxa"/>
            <w:vAlign w:val="center"/>
          </w:tcPr>
          <w:p>
            <w:pPr>
              <w:spacing w:line="280" w:lineRule="exact"/>
              <w:jc w:val="center"/>
              <w:rPr>
                <w:rFonts w:ascii="仿宋" w:hAnsi="仿宋" w:eastAsia="仿宋"/>
                <w:sz w:val="24"/>
              </w:rPr>
            </w:pPr>
            <w:r>
              <w:rPr>
                <w:rFonts w:ascii="仿宋" w:hAnsi="仿宋" w:eastAsia="仿宋"/>
                <w:sz w:val="24"/>
              </w:rPr>
              <w:t>湖南玉坤矿业</w:t>
            </w:r>
          </w:p>
          <w:p>
            <w:pPr>
              <w:spacing w:line="280" w:lineRule="exact"/>
              <w:jc w:val="center"/>
              <w:rPr>
                <w:rFonts w:ascii="仿宋" w:hAnsi="仿宋" w:eastAsia="仿宋"/>
                <w:sz w:val="24"/>
              </w:rPr>
            </w:pPr>
            <w:r>
              <w:rPr>
                <w:rFonts w:ascii="仿宋" w:hAnsi="仿宋" w:eastAsia="仿宋"/>
                <w:sz w:val="24"/>
              </w:rPr>
              <w:t>集团公司</w:t>
            </w:r>
          </w:p>
        </w:tc>
        <w:tc>
          <w:tcPr>
            <w:tcW w:w="7056" w:type="dxa"/>
          </w:tcPr>
          <w:p>
            <w:pPr>
              <w:spacing w:line="280" w:lineRule="exact"/>
              <w:rPr>
                <w:rFonts w:ascii="仿宋" w:hAnsi="仿宋" w:eastAsia="仿宋"/>
                <w:sz w:val="24"/>
              </w:rPr>
            </w:pPr>
            <w:r>
              <w:rPr>
                <w:rFonts w:ascii="仿宋" w:hAnsi="仿宋" w:eastAsia="仿宋"/>
                <w:sz w:val="24"/>
              </w:rPr>
              <w:t>11、外围探矿权范围地质勘查工程项目。</w:t>
            </w:r>
          </w:p>
        </w:tc>
        <w:tc>
          <w:tcPr>
            <w:tcW w:w="1877" w:type="dxa"/>
            <w:vAlign w:val="center"/>
          </w:tcPr>
          <w:p>
            <w:pPr>
              <w:spacing w:line="280" w:lineRule="exact"/>
              <w:jc w:val="center"/>
              <w:rPr>
                <w:rFonts w:ascii="仿宋" w:hAnsi="仿宋" w:eastAsia="仿宋"/>
                <w:sz w:val="24"/>
              </w:rPr>
            </w:pPr>
            <w:r>
              <w:rPr>
                <w:rFonts w:ascii="仿宋" w:hAnsi="仿宋" w:eastAsia="仿宋"/>
                <w:sz w:val="24"/>
              </w:rPr>
              <w:t>2015---2020年</w:t>
            </w:r>
          </w:p>
        </w:tc>
        <w:tc>
          <w:tcPr>
            <w:tcW w:w="1276" w:type="dxa"/>
            <w:vAlign w:val="center"/>
          </w:tcPr>
          <w:p>
            <w:pPr>
              <w:spacing w:line="280" w:lineRule="exact"/>
              <w:jc w:val="center"/>
              <w:rPr>
                <w:rFonts w:ascii="仿宋" w:hAnsi="仿宋" w:eastAsia="仿宋"/>
                <w:sz w:val="24"/>
              </w:rPr>
            </w:pPr>
            <w:r>
              <w:rPr>
                <w:rFonts w:ascii="仿宋" w:hAnsi="仿宋" w:eastAsia="仿宋"/>
                <w:sz w:val="24"/>
              </w:rPr>
              <w:t>5000</w:t>
            </w:r>
          </w:p>
        </w:tc>
        <w:tc>
          <w:tcPr>
            <w:tcW w:w="1707" w:type="dxa"/>
            <w:vMerge w:val="continue"/>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068" w:type="dxa"/>
            <w:vAlign w:val="center"/>
          </w:tcPr>
          <w:p>
            <w:pPr>
              <w:spacing w:line="280" w:lineRule="exact"/>
              <w:jc w:val="center"/>
              <w:rPr>
                <w:rFonts w:ascii="仿宋" w:hAnsi="仿宋" w:eastAsia="仿宋"/>
                <w:sz w:val="24"/>
              </w:rPr>
            </w:pPr>
            <w:r>
              <w:rPr>
                <w:rFonts w:ascii="仿宋" w:hAnsi="仿宋" w:eastAsia="仿宋"/>
                <w:sz w:val="24"/>
              </w:rPr>
              <w:t>新华联醴陵正冲金矿</w:t>
            </w:r>
          </w:p>
        </w:tc>
        <w:tc>
          <w:tcPr>
            <w:tcW w:w="7056" w:type="dxa"/>
          </w:tcPr>
          <w:p>
            <w:pPr>
              <w:spacing w:line="280" w:lineRule="exact"/>
              <w:rPr>
                <w:rFonts w:ascii="仿宋" w:hAnsi="仿宋" w:eastAsia="仿宋"/>
                <w:sz w:val="24"/>
              </w:rPr>
            </w:pPr>
            <w:r>
              <w:rPr>
                <w:rFonts w:ascii="仿宋" w:hAnsi="仿宋" w:eastAsia="仿宋"/>
                <w:sz w:val="24"/>
              </w:rPr>
              <w:t>12、矿权收购区地质探矿勘查工程项目。</w:t>
            </w:r>
          </w:p>
        </w:tc>
        <w:tc>
          <w:tcPr>
            <w:tcW w:w="1877" w:type="dxa"/>
            <w:vAlign w:val="center"/>
          </w:tcPr>
          <w:p>
            <w:pPr>
              <w:spacing w:line="280" w:lineRule="exact"/>
              <w:jc w:val="center"/>
              <w:rPr>
                <w:rFonts w:ascii="仿宋" w:hAnsi="仿宋" w:eastAsia="仿宋"/>
                <w:sz w:val="24"/>
              </w:rPr>
            </w:pPr>
            <w:r>
              <w:rPr>
                <w:rFonts w:ascii="仿宋" w:hAnsi="仿宋" w:eastAsia="仿宋"/>
                <w:sz w:val="24"/>
              </w:rPr>
              <w:t>2016---2020年</w:t>
            </w:r>
          </w:p>
        </w:tc>
        <w:tc>
          <w:tcPr>
            <w:tcW w:w="1276" w:type="dxa"/>
            <w:vAlign w:val="center"/>
          </w:tcPr>
          <w:p>
            <w:pPr>
              <w:spacing w:line="280" w:lineRule="exact"/>
              <w:jc w:val="center"/>
              <w:rPr>
                <w:rFonts w:ascii="仿宋" w:hAnsi="仿宋" w:eastAsia="仿宋"/>
                <w:sz w:val="24"/>
              </w:rPr>
            </w:pPr>
            <w:r>
              <w:rPr>
                <w:rFonts w:ascii="仿宋" w:hAnsi="仿宋" w:eastAsia="仿宋"/>
                <w:sz w:val="24"/>
              </w:rPr>
              <w:t>5000</w:t>
            </w:r>
          </w:p>
        </w:tc>
        <w:tc>
          <w:tcPr>
            <w:tcW w:w="1707" w:type="dxa"/>
            <w:vMerge w:val="continue"/>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068" w:type="dxa"/>
            <w:vAlign w:val="center"/>
          </w:tcPr>
          <w:p>
            <w:pPr>
              <w:spacing w:line="280" w:lineRule="exact"/>
              <w:jc w:val="center"/>
              <w:rPr>
                <w:rFonts w:ascii="仿宋" w:hAnsi="仿宋" w:eastAsia="仿宋"/>
                <w:sz w:val="24"/>
              </w:rPr>
            </w:pPr>
            <w:r>
              <w:rPr>
                <w:rFonts w:ascii="仿宋" w:hAnsi="仿宋" w:eastAsia="仿宋"/>
                <w:sz w:val="24"/>
              </w:rPr>
              <w:t>岳阳万鑫矿业</w:t>
            </w:r>
          </w:p>
          <w:p>
            <w:pPr>
              <w:spacing w:line="280" w:lineRule="exact"/>
              <w:jc w:val="center"/>
              <w:rPr>
                <w:rFonts w:ascii="仿宋" w:hAnsi="仿宋" w:eastAsia="仿宋"/>
                <w:sz w:val="24"/>
              </w:rPr>
            </w:pPr>
            <w:r>
              <w:rPr>
                <w:rFonts w:hint="eastAsia" w:ascii="仿宋" w:hAnsi="仿宋" w:eastAsia="仿宋"/>
                <w:sz w:val="24"/>
              </w:rPr>
              <w:t>有限公司</w:t>
            </w:r>
          </w:p>
        </w:tc>
        <w:tc>
          <w:tcPr>
            <w:tcW w:w="7056" w:type="dxa"/>
          </w:tcPr>
          <w:p>
            <w:pPr>
              <w:spacing w:line="280" w:lineRule="exact"/>
              <w:rPr>
                <w:rFonts w:ascii="仿宋" w:hAnsi="仿宋" w:eastAsia="仿宋"/>
                <w:sz w:val="24"/>
              </w:rPr>
            </w:pPr>
            <w:r>
              <w:rPr>
                <w:rFonts w:ascii="仿宋" w:hAnsi="仿宋" w:eastAsia="仿宋"/>
                <w:sz w:val="24"/>
              </w:rPr>
              <w:t>13、矿区深部探矿勘查工程项目。</w:t>
            </w:r>
          </w:p>
        </w:tc>
        <w:tc>
          <w:tcPr>
            <w:tcW w:w="1877" w:type="dxa"/>
            <w:vAlign w:val="center"/>
          </w:tcPr>
          <w:p>
            <w:pPr>
              <w:spacing w:line="280" w:lineRule="exact"/>
              <w:jc w:val="center"/>
              <w:rPr>
                <w:rFonts w:ascii="仿宋" w:hAnsi="仿宋" w:eastAsia="仿宋"/>
                <w:sz w:val="24"/>
              </w:rPr>
            </w:pPr>
            <w:r>
              <w:rPr>
                <w:rFonts w:ascii="仿宋" w:hAnsi="仿宋" w:eastAsia="仿宋"/>
                <w:sz w:val="24"/>
              </w:rPr>
              <w:t>2016---2020年</w:t>
            </w:r>
          </w:p>
        </w:tc>
        <w:tc>
          <w:tcPr>
            <w:tcW w:w="1276" w:type="dxa"/>
            <w:vAlign w:val="center"/>
          </w:tcPr>
          <w:p>
            <w:pPr>
              <w:spacing w:line="280" w:lineRule="exact"/>
              <w:jc w:val="center"/>
              <w:rPr>
                <w:rFonts w:ascii="仿宋" w:hAnsi="仿宋" w:eastAsia="仿宋"/>
                <w:sz w:val="24"/>
              </w:rPr>
            </w:pPr>
            <w:r>
              <w:rPr>
                <w:rFonts w:ascii="仿宋" w:hAnsi="仿宋" w:eastAsia="仿宋"/>
                <w:sz w:val="24"/>
              </w:rPr>
              <w:t>3000</w:t>
            </w:r>
          </w:p>
        </w:tc>
        <w:tc>
          <w:tcPr>
            <w:tcW w:w="1707" w:type="dxa"/>
            <w:vMerge w:val="continue"/>
          </w:tcPr>
          <w:p>
            <w:pPr>
              <w:spacing w:line="280" w:lineRule="exact"/>
              <w:rPr>
                <w:rFonts w:ascii="仿宋" w:hAnsi="仿宋" w:eastAsia="仿宋"/>
                <w:sz w:val="24"/>
              </w:rPr>
            </w:pPr>
          </w:p>
        </w:tc>
      </w:tr>
    </w:tbl>
    <w:p>
      <w:pPr>
        <w:pStyle w:val="13"/>
        <w:spacing w:line="600" w:lineRule="exact"/>
        <w:rPr>
          <w:rFonts w:ascii="仿宋" w:hAnsi="仿宋" w:eastAsia="仿宋"/>
          <w:kern w:val="2"/>
          <w:sz w:val="32"/>
          <w:szCs w:val="32"/>
        </w:rPr>
      </w:pPr>
    </w:p>
    <w:p>
      <w:pPr>
        <w:pStyle w:val="13"/>
        <w:spacing w:line="600" w:lineRule="exact"/>
        <w:rPr>
          <w:rFonts w:ascii="黑体" w:hAnsi="黑体" w:eastAsia="黑体"/>
          <w:kern w:val="2"/>
          <w:sz w:val="32"/>
          <w:szCs w:val="32"/>
        </w:rPr>
      </w:pPr>
      <w:r>
        <w:rPr>
          <w:rFonts w:hint="eastAsia" w:ascii="黑体" w:hAnsi="黑体" w:eastAsia="黑体"/>
          <w:kern w:val="2"/>
          <w:sz w:val="32"/>
          <w:szCs w:val="32"/>
        </w:rPr>
        <w:t>附表3</w:t>
      </w:r>
    </w:p>
    <w:p>
      <w:pPr>
        <w:pStyle w:val="13"/>
        <w:spacing w:line="600" w:lineRule="exact"/>
        <w:rPr>
          <w:rFonts w:ascii="仿宋" w:hAnsi="仿宋" w:eastAsia="仿宋"/>
          <w:kern w:val="2"/>
          <w:sz w:val="32"/>
          <w:szCs w:val="32"/>
        </w:rPr>
      </w:pPr>
    </w:p>
    <w:p>
      <w:pPr>
        <w:pStyle w:val="13"/>
        <w:spacing w:line="600" w:lineRule="exact"/>
        <w:jc w:val="center"/>
        <w:rPr>
          <w:rFonts w:ascii="仿宋" w:hAnsi="仿宋" w:eastAsia="仿宋"/>
          <w:kern w:val="2"/>
          <w:sz w:val="44"/>
          <w:szCs w:val="44"/>
        </w:rPr>
      </w:pPr>
      <w:r>
        <w:rPr>
          <w:rFonts w:hint="eastAsia" w:ascii="仿宋" w:hAnsi="仿宋" w:eastAsia="仿宋"/>
          <w:kern w:val="2"/>
          <w:sz w:val="44"/>
          <w:szCs w:val="44"/>
        </w:rPr>
        <w:t>湖南黄金“十三五”科研项目规划表</w:t>
      </w:r>
    </w:p>
    <w:p>
      <w:pPr>
        <w:pStyle w:val="13"/>
        <w:spacing w:line="600" w:lineRule="exact"/>
        <w:ind w:firstLine="640" w:firstLineChars="200"/>
        <w:jc w:val="right"/>
        <w:rPr>
          <w:rFonts w:ascii="仿宋" w:hAnsi="仿宋" w:eastAsia="仿宋"/>
          <w:kern w:val="2"/>
          <w:sz w:val="32"/>
          <w:szCs w:val="32"/>
        </w:rPr>
      </w:pPr>
      <w:r>
        <w:rPr>
          <w:rFonts w:hint="eastAsia" w:ascii="仿宋" w:hAnsi="仿宋" w:eastAsia="仿宋"/>
          <w:kern w:val="2"/>
          <w:sz w:val="32"/>
          <w:szCs w:val="32"/>
        </w:rPr>
        <w:t>单位：万元</w:t>
      </w:r>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3599"/>
        <w:gridCol w:w="4678"/>
        <w:gridCol w:w="1944"/>
        <w:gridCol w:w="1276"/>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9" w:type="dxa"/>
            <w:vAlign w:val="center"/>
          </w:tcPr>
          <w:p>
            <w:pPr>
              <w:spacing w:line="300" w:lineRule="exact"/>
              <w:jc w:val="center"/>
              <w:rPr>
                <w:rFonts w:ascii="仿宋" w:hAnsi="仿宋" w:eastAsia="仿宋"/>
                <w:sz w:val="24"/>
              </w:rPr>
            </w:pPr>
            <w:r>
              <w:rPr>
                <w:rFonts w:hint="eastAsia" w:ascii="仿宋" w:hAnsi="仿宋" w:eastAsia="仿宋"/>
                <w:sz w:val="24"/>
              </w:rPr>
              <w:t>单位名称</w:t>
            </w:r>
          </w:p>
        </w:tc>
        <w:tc>
          <w:tcPr>
            <w:tcW w:w="3599" w:type="dxa"/>
            <w:vAlign w:val="center"/>
          </w:tcPr>
          <w:p>
            <w:pPr>
              <w:spacing w:line="300" w:lineRule="exact"/>
              <w:jc w:val="center"/>
              <w:rPr>
                <w:rFonts w:ascii="仿宋" w:hAnsi="仿宋" w:eastAsia="仿宋"/>
                <w:sz w:val="24"/>
              </w:rPr>
            </w:pPr>
            <w:r>
              <w:rPr>
                <w:rFonts w:hint="eastAsia" w:ascii="仿宋" w:hAnsi="仿宋" w:eastAsia="仿宋"/>
                <w:sz w:val="24"/>
              </w:rPr>
              <w:t>项目名称</w:t>
            </w:r>
          </w:p>
        </w:tc>
        <w:tc>
          <w:tcPr>
            <w:tcW w:w="4678" w:type="dxa"/>
            <w:vAlign w:val="center"/>
          </w:tcPr>
          <w:p>
            <w:pPr>
              <w:spacing w:line="300" w:lineRule="exact"/>
              <w:jc w:val="center"/>
              <w:rPr>
                <w:rFonts w:ascii="仿宋" w:hAnsi="仿宋" w:eastAsia="仿宋"/>
                <w:sz w:val="24"/>
              </w:rPr>
            </w:pPr>
            <w:r>
              <w:rPr>
                <w:rFonts w:hint="eastAsia" w:ascii="仿宋" w:hAnsi="仿宋" w:eastAsia="仿宋"/>
                <w:sz w:val="24"/>
              </w:rPr>
              <w:t>项目内容</w:t>
            </w:r>
          </w:p>
        </w:tc>
        <w:tc>
          <w:tcPr>
            <w:tcW w:w="1944" w:type="dxa"/>
            <w:vAlign w:val="center"/>
          </w:tcPr>
          <w:p>
            <w:pPr>
              <w:spacing w:line="300" w:lineRule="exact"/>
              <w:jc w:val="center"/>
              <w:rPr>
                <w:rFonts w:ascii="仿宋" w:hAnsi="仿宋" w:eastAsia="仿宋"/>
                <w:sz w:val="24"/>
              </w:rPr>
            </w:pPr>
            <w:r>
              <w:rPr>
                <w:rFonts w:hint="eastAsia" w:ascii="仿宋" w:hAnsi="仿宋" w:eastAsia="仿宋"/>
                <w:sz w:val="24"/>
              </w:rPr>
              <w:t>起至时间</w:t>
            </w:r>
          </w:p>
        </w:tc>
        <w:tc>
          <w:tcPr>
            <w:tcW w:w="1276" w:type="dxa"/>
            <w:vAlign w:val="center"/>
          </w:tcPr>
          <w:p>
            <w:pPr>
              <w:spacing w:line="300" w:lineRule="exact"/>
              <w:jc w:val="center"/>
              <w:rPr>
                <w:rFonts w:ascii="仿宋" w:hAnsi="仿宋" w:eastAsia="仿宋"/>
                <w:sz w:val="24"/>
              </w:rPr>
            </w:pPr>
            <w:r>
              <w:rPr>
                <w:rFonts w:hint="eastAsia" w:ascii="仿宋" w:hAnsi="仿宋" w:eastAsia="仿宋"/>
                <w:sz w:val="24"/>
              </w:rPr>
              <w:t>规划投资</w:t>
            </w:r>
          </w:p>
        </w:tc>
        <w:tc>
          <w:tcPr>
            <w:tcW w:w="1308" w:type="dxa"/>
            <w:vAlign w:val="center"/>
          </w:tcPr>
          <w:p>
            <w:pPr>
              <w:spacing w:line="300" w:lineRule="exact"/>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9" w:type="dxa"/>
            <w:vAlign w:val="center"/>
          </w:tcPr>
          <w:p>
            <w:pPr>
              <w:spacing w:line="300" w:lineRule="exact"/>
              <w:jc w:val="center"/>
              <w:rPr>
                <w:rFonts w:ascii="仿宋" w:hAnsi="仿宋" w:eastAsia="仿宋"/>
                <w:sz w:val="24"/>
              </w:rPr>
            </w:pPr>
            <w:r>
              <w:rPr>
                <w:rFonts w:ascii="仿宋" w:hAnsi="仿宋" w:eastAsia="仿宋"/>
                <w:sz w:val="24"/>
              </w:rPr>
              <w:t>全省</w:t>
            </w:r>
          </w:p>
        </w:tc>
        <w:tc>
          <w:tcPr>
            <w:tcW w:w="3599" w:type="dxa"/>
            <w:vAlign w:val="center"/>
          </w:tcPr>
          <w:p>
            <w:pPr>
              <w:spacing w:line="300" w:lineRule="exact"/>
              <w:jc w:val="center"/>
              <w:rPr>
                <w:rFonts w:ascii="仿宋" w:hAnsi="仿宋" w:eastAsia="仿宋"/>
                <w:sz w:val="24"/>
              </w:rPr>
            </w:pPr>
            <w:r>
              <w:rPr>
                <w:rFonts w:ascii="仿宋" w:hAnsi="仿宋" w:eastAsia="仿宋"/>
                <w:sz w:val="24"/>
              </w:rPr>
              <w:t>合计</w:t>
            </w:r>
          </w:p>
        </w:tc>
        <w:tc>
          <w:tcPr>
            <w:tcW w:w="4678" w:type="dxa"/>
            <w:vAlign w:val="center"/>
          </w:tcPr>
          <w:p>
            <w:pPr>
              <w:spacing w:line="300" w:lineRule="exact"/>
              <w:jc w:val="center"/>
              <w:rPr>
                <w:rFonts w:ascii="仿宋" w:hAnsi="仿宋" w:eastAsia="仿宋"/>
                <w:sz w:val="24"/>
              </w:rPr>
            </w:pPr>
          </w:p>
        </w:tc>
        <w:tc>
          <w:tcPr>
            <w:tcW w:w="1944" w:type="dxa"/>
            <w:vAlign w:val="center"/>
          </w:tcPr>
          <w:p>
            <w:pPr>
              <w:spacing w:line="300" w:lineRule="exact"/>
              <w:jc w:val="center"/>
              <w:rPr>
                <w:rFonts w:ascii="仿宋" w:hAnsi="仿宋" w:eastAsia="仿宋"/>
                <w:sz w:val="24"/>
              </w:rPr>
            </w:pPr>
          </w:p>
        </w:tc>
        <w:tc>
          <w:tcPr>
            <w:tcW w:w="1276" w:type="dxa"/>
            <w:vAlign w:val="center"/>
          </w:tcPr>
          <w:p>
            <w:pPr>
              <w:spacing w:line="300" w:lineRule="exact"/>
              <w:jc w:val="center"/>
              <w:rPr>
                <w:rFonts w:ascii="仿宋" w:hAnsi="仿宋" w:eastAsia="仿宋"/>
                <w:sz w:val="24"/>
              </w:rPr>
            </w:pPr>
            <w:r>
              <w:rPr>
                <w:rFonts w:ascii="仿宋" w:hAnsi="仿宋" w:eastAsia="仿宋"/>
                <w:sz w:val="24"/>
              </w:rPr>
              <w:t>5700</w:t>
            </w:r>
          </w:p>
        </w:tc>
        <w:tc>
          <w:tcPr>
            <w:tcW w:w="1308" w:type="dxa"/>
            <w:vMerge w:val="restart"/>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9" w:type="dxa"/>
            <w:vMerge w:val="restart"/>
            <w:vAlign w:val="center"/>
          </w:tcPr>
          <w:p>
            <w:pPr>
              <w:spacing w:line="300" w:lineRule="exact"/>
              <w:rPr>
                <w:rFonts w:ascii="仿宋" w:hAnsi="仿宋" w:eastAsia="仿宋"/>
                <w:sz w:val="24"/>
              </w:rPr>
            </w:pPr>
            <w:r>
              <w:rPr>
                <w:rFonts w:ascii="仿宋" w:hAnsi="仿宋" w:eastAsia="仿宋"/>
                <w:sz w:val="24"/>
              </w:rPr>
              <w:t>辰州矿业</w:t>
            </w:r>
            <w:r>
              <w:rPr>
                <w:rFonts w:hint="eastAsia" w:ascii="仿宋" w:hAnsi="仿宋" w:eastAsia="仿宋"/>
                <w:sz w:val="24"/>
              </w:rPr>
              <w:t>有限责任公司</w:t>
            </w:r>
          </w:p>
        </w:tc>
        <w:tc>
          <w:tcPr>
            <w:tcW w:w="3599" w:type="dxa"/>
            <w:vAlign w:val="center"/>
          </w:tcPr>
          <w:p>
            <w:pPr>
              <w:spacing w:line="300" w:lineRule="exact"/>
              <w:rPr>
                <w:rFonts w:ascii="仿宋" w:hAnsi="仿宋" w:eastAsia="仿宋"/>
                <w:sz w:val="24"/>
              </w:rPr>
            </w:pPr>
            <w:r>
              <w:rPr>
                <w:rFonts w:ascii="仿宋" w:hAnsi="仿宋" w:eastAsia="仿宋"/>
                <w:sz w:val="24"/>
              </w:rPr>
              <w:t>1、选厂短流程工艺研究。</w:t>
            </w:r>
          </w:p>
        </w:tc>
        <w:tc>
          <w:tcPr>
            <w:tcW w:w="4678" w:type="dxa"/>
            <w:vAlign w:val="center"/>
          </w:tcPr>
          <w:p>
            <w:pPr>
              <w:spacing w:line="260" w:lineRule="exact"/>
              <w:rPr>
                <w:rFonts w:ascii="仿宋" w:hAnsi="仿宋" w:eastAsia="仿宋"/>
                <w:sz w:val="24"/>
              </w:rPr>
            </w:pPr>
            <w:r>
              <w:rPr>
                <w:rFonts w:ascii="仿宋" w:hAnsi="仿宋" w:eastAsia="仿宋"/>
                <w:sz w:val="24"/>
              </w:rPr>
              <w:t>通过研究实验，将选矿流程缩短，拟降低生产成本，使选矿生产更为专业化。</w:t>
            </w:r>
          </w:p>
        </w:tc>
        <w:tc>
          <w:tcPr>
            <w:tcW w:w="1944" w:type="dxa"/>
            <w:vAlign w:val="center"/>
          </w:tcPr>
          <w:p>
            <w:pPr>
              <w:spacing w:line="300" w:lineRule="exact"/>
              <w:jc w:val="center"/>
              <w:rPr>
                <w:rFonts w:ascii="仿宋" w:hAnsi="仿宋" w:eastAsia="仿宋"/>
                <w:sz w:val="24"/>
              </w:rPr>
            </w:pPr>
            <w:r>
              <w:rPr>
                <w:rFonts w:ascii="仿宋" w:hAnsi="仿宋" w:eastAsia="仿宋"/>
                <w:sz w:val="24"/>
              </w:rPr>
              <w:t>2015---2020年</w:t>
            </w:r>
          </w:p>
        </w:tc>
        <w:tc>
          <w:tcPr>
            <w:tcW w:w="1276" w:type="dxa"/>
            <w:vAlign w:val="center"/>
          </w:tcPr>
          <w:p>
            <w:pPr>
              <w:spacing w:line="300" w:lineRule="exact"/>
              <w:jc w:val="center"/>
              <w:rPr>
                <w:rFonts w:ascii="仿宋" w:hAnsi="仿宋" w:eastAsia="仿宋"/>
                <w:sz w:val="24"/>
              </w:rPr>
            </w:pPr>
            <w:r>
              <w:rPr>
                <w:rFonts w:ascii="仿宋" w:hAnsi="仿宋" w:eastAsia="仿宋"/>
                <w:sz w:val="24"/>
              </w:rPr>
              <w:t>1000</w:t>
            </w:r>
          </w:p>
        </w:tc>
        <w:tc>
          <w:tcPr>
            <w:tcW w:w="1308" w:type="dxa"/>
            <w:vMerge w:val="continue"/>
            <w:vAlign w:val="center"/>
          </w:tcPr>
          <w:p>
            <w:pPr>
              <w:spacing w:line="3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9" w:type="dxa"/>
            <w:vMerge w:val="continue"/>
            <w:vAlign w:val="center"/>
          </w:tcPr>
          <w:p>
            <w:pPr>
              <w:spacing w:line="300" w:lineRule="exact"/>
              <w:rPr>
                <w:rFonts w:ascii="仿宋" w:hAnsi="仿宋" w:eastAsia="仿宋"/>
                <w:sz w:val="24"/>
              </w:rPr>
            </w:pPr>
          </w:p>
        </w:tc>
        <w:tc>
          <w:tcPr>
            <w:tcW w:w="3599" w:type="dxa"/>
            <w:vAlign w:val="center"/>
          </w:tcPr>
          <w:p>
            <w:pPr>
              <w:spacing w:line="300" w:lineRule="exact"/>
              <w:rPr>
                <w:rFonts w:ascii="仿宋" w:hAnsi="仿宋" w:eastAsia="仿宋"/>
                <w:sz w:val="24"/>
              </w:rPr>
            </w:pPr>
            <w:r>
              <w:rPr>
                <w:rFonts w:ascii="仿宋" w:hAnsi="仿宋" w:eastAsia="仿宋"/>
                <w:sz w:val="24"/>
              </w:rPr>
              <w:t>2、选厂重选工艺技术研究。</w:t>
            </w:r>
          </w:p>
        </w:tc>
        <w:tc>
          <w:tcPr>
            <w:tcW w:w="4678" w:type="dxa"/>
            <w:vAlign w:val="center"/>
          </w:tcPr>
          <w:p>
            <w:pPr>
              <w:spacing w:line="260" w:lineRule="exact"/>
              <w:rPr>
                <w:rFonts w:ascii="仿宋" w:hAnsi="仿宋" w:eastAsia="仿宋"/>
                <w:sz w:val="24"/>
              </w:rPr>
            </w:pPr>
            <w:r>
              <w:rPr>
                <w:rFonts w:ascii="仿宋" w:hAnsi="仿宋" w:eastAsia="仿宋"/>
                <w:sz w:val="24"/>
              </w:rPr>
              <w:t>通过重选合质金及白钨产品工艺流程研究，达到提高合质金和白钨选矿回收率的目的。</w:t>
            </w:r>
          </w:p>
        </w:tc>
        <w:tc>
          <w:tcPr>
            <w:tcW w:w="1944" w:type="dxa"/>
            <w:vAlign w:val="center"/>
          </w:tcPr>
          <w:p>
            <w:pPr>
              <w:spacing w:line="300" w:lineRule="exact"/>
              <w:jc w:val="center"/>
              <w:rPr>
                <w:rFonts w:ascii="仿宋" w:hAnsi="仿宋" w:eastAsia="仿宋"/>
                <w:sz w:val="24"/>
              </w:rPr>
            </w:pPr>
            <w:r>
              <w:rPr>
                <w:rFonts w:ascii="仿宋" w:hAnsi="仿宋" w:eastAsia="仿宋"/>
                <w:sz w:val="24"/>
              </w:rPr>
              <w:t>2015---2016年</w:t>
            </w:r>
          </w:p>
        </w:tc>
        <w:tc>
          <w:tcPr>
            <w:tcW w:w="1276" w:type="dxa"/>
            <w:vAlign w:val="center"/>
          </w:tcPr>
          <w:p>
            <w:pPr>
              <w:spacing w:line="300" w:lineRule="exact"/>
              <w:jc w:val="center"/>
              <w:rPr>
                <w:rFonts w:ascii="仿宋" w:hAnsi="仿宋" w:eastAsia="仿宋"/>
                <w:sz w:val="24"/>
              </w:rPr>
            </w:pPr>
            <w:r>
              <w:rPr>
                <w:rFonts w:ascii="仿宋" w:hAnsi="仿宋" w:eastAsia="仿宋"/>
                <w:sz w:val="24"/>
              </w:rPr>
              <w:t>500</w:t>
            </w:r>
          </w:p>
        </w:tc>
        <w:tc>
          <w:tcPr>
            <w:tcW w:w="1308" w:type="dxa"/>
            <w:vMerge w:val="continue"/>
            <w:vAlign w:val="center"/>
          </w:tcPr>
          <w:p>
            <w:pPr>
              <w:spacing w:line="3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9" w:type="dxa"/>
            <w:vMerge w:val="continue"/>
            <w:vAlign w:val="center"/>
          </w:tcPr>
          <w:p>
            <w:pPr>
              <w:spacing w:line="300" w:lineRule="exact"/>
              <w:rPr>
                <w:rFonts w:ascii="仿宋" w:hAnsi="仿宋" w:eastAsia="仿宋"/>
                <w:sz w:val="24"/>
              </w:rPr>
            </w:pPr>
          </w:p>
        </w:tc>
        <w:tc>
          <w:tcPr>
            <w:tcW w:w="3599" w:type="dxa"/>
            <w:vAlign w:val="center"/>
          </w:tcPr>
          <w:p>
            <w:pPr>
              <w:spacing w:line="300" w:lineRule="exact"/>
              <w:rPr>
                <w:rFonts w:ascii="仿宋" w:hAnsi="仿宋" w:eastAsia="仿宋"/>
                <w:sz w:val="24"/>
              </w:rPr>
            </w:pPr>
            <w:r>
              <w:rPr>
                <w:rFonts w:ascii="仿宋" w:hAnsi="仿宋" w:eastAsia="仿宋"/>
                <w:sz w:val="24"/>
              </w:rPr>
              <w:t>3、深井矿体低贫化高效率开采技术研究。</w:t>
            </w:r>
          </w:p>
        </w:tc>
        <w:tc>
          <w:tcPr>
            <w:tcW w:w="4678" w:type="dxa"/>
            <w:vAlign w:val="center"/>
          </w:tcPr>
          <w:p>
            <w:pPr>
              <w:spacing w:line="260" w:lineRule="exact"/>
              <w:rPr>
                <w:rFonts w:ascii="仿宋" w:hAnsi="仿宋" w:eastAsia="仿宋"/>
                <w:sz w:val="24"/>
              </w:rPr>
            </w:pPr>
            <w:r>
              <w:rPr>
                <w:rFonts w:ascii="仿宋" w:hAnsi="仿宋" w:eastAsia="仿宋"/>
                <w:sz w:val="24"/>
              </w:rPr>
              <w:t>沃溪坑口42平段以下深井采矿方法研究。</w:t>
            </w:r>
          </w:p>
        </w:tc>
        <w:tc>
          <w:tcPr>
            <w:tcW w:w="1944" w:type="dxa"/>
            <w:vAlign w:val="center"/>
          </w:tcPr>
          <w:p>
            <w:pPr>
              <w:spacing w:line="300" w:lineRule="exact"/>
              <w:jc w:val="center"/>
              <w:rPr>
                <w:rFonts w:ascii="仿宋" w:hAnsi="仿宋" w:eastAsia="仿宋"/>
                <w:sz w:val="24"/>
              </w:rPr>
            </w:pPr>
            <w:r>
              <w:rPr>
                <w:rFonts w:ascii="仿宋" w:hAnsi="仿宋" w:eastAsia="仿宋"/>
                <w:sz w:val="24"/>
              </w:rPr>
              <w:t>2016---2020年</w:t>
            </w:r>
          </w:p>
        </w:tc>
        <w:tc>
          <w:tcPr>
            <w:tcW w:w="1276" w:type="dxa"/>
            <w:vAlign w:val="center"/>
          </w:tcPr>
          <w:p>
            <w:pPr>
              <w:spacing w:line="300" w:lineRule="exact"/>
              <w:jc w:val="center"/>
              <w:rPr>
                <w:rFonts w:ascii="仿宋" w:hAnsi="仿宋" w:eastAsia="仿宋"/>
                <w:sz w:val="24"/>
              </w:rPr>
            </w:pPr>
            <w:r>
              <w:rPr>
                <w:rFonts w:ascii="仿宋" w:hAnsi="仿宋" w:eastAsia="仿宋"/>
                <w:sz w:val="24"/>
              </w:rPr>
              <w:t>1000</w:t>
            </w:r>
          </w:p>
        </w:tc>
        <w:tc>
          <w:tcPr>
            <w:tcW w:w="1308" w:type="dxa"/>
            <w:vMerge w:val="continue"/>
            <w:vAlign w:val="center"/>
          </w:tcPr>
          <w:p>
            <w:pPr>
              <w:spacing w:line="3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9" w:type="dxa"/>
            <w:vMerge w:val="continue"/>
            <w:vAlign w:val="center"/>
          </w:tcPr>
          <w:p>
            <w:pPr>
              <w:spacing w:line="300" w:lineRule="exact"/>
              <w:rPr>
                <w:rFonts w:ascii="仿宋" w:hAnsi="仿宋" w:eastAsia="仿宋"/>
                <w:sz w:val="24"/>
              </w:rPr>
            </w:pPr>
          </w:p>
        </w:tc>
        <w:tc>
          <w:tcPr>
            <w:tcW w:w="3599" w:type="dxa"/>
            <w:vAlign w:val="center"/>
          </w:tcPr>
          <w:p>
            <w:pPr>
              <w:spacing w:line="300" w:lineRule="exact"/>
              <w:rPr>
                <w:rFonts w:ascii="仿宋" w:hAnsi="仿宋" w:eastAsia="仿宋"/>
                <w:sz w:val="24"/>
              </w:rPr>
            </w:pPr>
            <w:r>
              <w:rPr>
                <w:rFonts w:ascii="仿宋" w:hAnsi="仿宋" w:eastAsia="仿宋"/>
                <w:sz w:val="24"/>
              </w:rPr>
              <w:t>4、沃溪坑口深部尾砂充填技术研究。</w:t>
            </w:r>
          </w:p>
        </w:tc>
        <w:tc>
          <w:tcPr>
            <w:tcW w:w="4678" w:type="dxa"/>
            <w:vAlign w:val="center"/>
          </w:tcPr>
          <w:p>
            <w:pPr>
              <w:spacing w:line="260" w:lineRule="exact"/>
              <w:rPr>
                <w:rFonts w:ascii="仿宋" w:hAnsi="仿宋" w:eastAsia="仿宋"/>
                <w:sz w:val="24"/>
              </w:rPr>
            </w:pPr>
            <w:r>
              <w:rPr>
                <w:rFonts w:ascii="仿宋" w:hAnsi="仿宋" w:eastAsia="仿宋"/>
                <w:sz w:val="24"/>
              </w:rPr>
              <w:t>沃溪坑口深井矿山尾砂井下充填技术研究。</w:t>
            </w:r>
          </w:p>
        </w:tc>
        <w:tc>
          <w:tcPr>
            <w:tcW w:w="1944" w:type="dxa"/>
            <w:vAlign w:val="center"/>
          </w:tcPr>
          <w:p>
            <w:pPr>
              <w:spacing w:line="300" w:lineRule="exact"/>
              <w:jc w:val="center"/>
              <w:rPr>
                <w:rFonts w:ascii="仿宋" w:hAnsi="仿宋" w:eastAsia="仿宋"/>
                <w:sz w:val="24"/>
              </w:rPr>
            </w:pPr>
            <w:r>
              <w:rPr>
                <w:rFonts w:ascii="仿宋" w:hAnsi="仿宋" w:eastAsia="仿宋"/>
                <w:sz w:val="24"/>
              </w:rPr>
              <w:t>2016---2018年</w:t>
            </w:r>
          </w:p>
        </w:tc>
        <w:tc>
          <w:tcPr>
            <w:tcW w:w="1276" w:type="dxa"/>
            <w:vAlign w:val="center"/>
          </w:tcPr>
          <w:p>
            <w:pPr>
              <w:spacing w:line="300" w:lineRule="exact"/>
              <w:jc w:val="center"/>
              <w:rPr>
                <w:rFonts w:ascii="仿宋" w:hAnsi="仿宋" w:eastAsia="仿宋"/>
                <w:sz w:val="24"/>
              </w:rPr>
            </w:pPr>
            <w:r>
              <w:rPr>
                <w:rFonts w:ascii="仿宋" w:hAnsi="仿宋" w:eastAsia="仿宋"/>
                <w:sz w:val="24"/>
              </w:rPr>
              <w:t>1000</w:t>
            </w:r>
          </w:p>
        </w:tc>
        <w:tc>
          <w:tcPr>
            <w:tcW w:w="1308" w:type="dxa"/>
            <w:vMerge w:val="continue"/>
            <w:vAlign w:val="center"/>
          </w:tcPr>
          <w:p>
            <w:pPr>
              <w:spacing w:line="3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9" w:type="dxa"/>
            <w:vMerge w:val="continue"/>
            <w:vAlign w:val="center"/>
          </w:tcPr>
          <w:p>
            <w:pPr>
              <w:spacing w:line="300" w:lineRule="exact"/>
              <w:rPr>
                <w:rFonts w:ascii="仿宋" w:hAnsi="仿宋" w:eastAsia="仿宋"/>
                <w:sz w:val="24"/>
              </w:rPr>
            </w:pPr>
          </w:p>
        </w:tc>
        <w:tc>
          <w:tcPr>
            <w:tcW w:w="3599" w:type="dxa"/>
            <w:vAlign w:val="center"/>
          </w:tcPr>
          <w:p>
            <w:pPr>
              <w:spacing w:line="300" w:lineRule="exact"/>
              <w:rPr>
                <w:rFonts w:ascii="仿宋" w:hAnsi="仿宋" w:eastAsia="仿宋"/>
                <w:sz w:val="24"/>
              </w:rPr>
            </w:pPr>
            <w:r>
              <w:rPr>
                <w:rFonts w:ascii="仿宋" w:hAnsi="仿宋" w:eastAsia="仿宋"/>
                <w:sz w:val="24"/>
              </w:rPr>
              <w:t>5、井下机械化采掘技术与运用研究。</w:t>
            </w:r>
          </w:p>
        </w:tc>
        <w:tc>
          <w:tcPr>
            <w:tcW w:w="4678" w:type="dxa"/>
            <w:vAlign w:val="center"/>
          </w:tcPr>
          <w:p>
            <w:pPr>
              <w:spacing w:line="260" w:lineRule="exact"/>
              <w:rPr>
                <w:rFonts w:ascii="仿宋" w:hAnsi="仿宋" w:eastAsia="仿宋"/>
                <w:sz w:val="24"/>
              </w:rPr>
            </w:pPr>
            <w:r>
              <w:rPr>
                <w:rFonts w:ascii="仿宋" w:hAnsi="仿宋" w:eastAsia="仿宋"/>
                <w:sz w:val="24"/>
              </w:rPr>
              <w:t>井下采掘采用机械化作业，逐步实现机械替代人工及自动化操作，减少人员提高效率。</w:t>
            </w:r>
          </w:p>
        </w:tc>
        <w:tc>
          <w:tcPr>
            <w:tcW w:w="1944" w:type="dxa"/>
            <w:vAlign w:val="center"/>
          </w:tcPr>
          <w:p>
            <w:pPr>
              <w:spacing w:line="300" w:lineRule="exact"/>
              <w:jc w:val="center"/>
              <w:rPr>
                <w:rFonts w:ascii="仿宋" w:hAnsi="仿宋" w:eastAsia="仿宋"/>
                <w:sz w:val="24"/>
              </w:rPr>
            </w:pPr>
            <w:r>
              <w:rPr>
                <w:rFonts w:ascii="仿宋" w:hAnsi="仿宋" w:eastAsia="仿宋"/>
                <w:sz w:val="24"/>
              </w:rPr>
              <w:t>2016---2018年</w:t>
            </w:r>
          </w:p>
        </w:tc>
        <w:tc>
          <w:tcPr>
            <w:tcW w:w="1276" w:type="dxa"/>
            <w:vAlign w:val="center"/>
          </w:tcPr>
          <w:p>
            <w:pPr>
              <w:spacing w:line="300" w:lineRule="exact"/>
              <w:jc w:val="center"/>
              <w:rPr>
                <w:rFonts w:ascii="仿宋" w:hAnsi="仿宋" w:eastAsia="仿宋"/>
                <w:sz w:val="24"/>
              </w:rPr>
            </w:pPr>
            <w:r>
              <w:rPr>
                <w:rFonts w:ascii="仿宋" w:hAnsi="仿宋" w:eastAsia="仿宋"/>
                <w:sz w:val="24"/>
              </w:rPr>
              <w:t>1000</w:t>
            </w:r>
          </w:p>
        </w:tc>
        <w:tc>
          <w:tcPr>
            <w:tcW w:w="1308" w:type="dxa"/>
            <w:vMerge w:val="continue"/>
            <w:vAlign w:val="center"/>
          </w:tcPr>
          <w:p>
            <w:pPr>
              <w:spacing w:line="3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9" w:type="dxa"/>
            <w:vMerge w:val="continue"/>
            <w:vAlign w:val="center"/>
          </w:tcPr>
          <w:p>
            <w:pPr>
              <w:spacing w:line="300" w:lineRule="exact"/>
              <w:rPr>
                <w:rFonts w:ascii="仿宋" w:hAnsi="仿宋" w:eastAsia="仿宋"/>
                <w:sz w:val="24"/>
              </w:rPr>
            </w:pPr>
          </w:p>
        </w:tc>
        <w:tc>
          <w:tcPr>
            <w:tcW w:w="3599" w:type="dxa"/>
            <w:vAlign w:val="center"/>
          </w:tcPr>
          <w:p>
            <w:pPr>
              <w:spacing w:line="300" w:lineRule="exact"/>
              <w:rPr>
                <w:rFonts w:ascii="仿宋" w:hAnsi="仿宋" w:eastAsia="仿宋"/>
                <w:sz w:val="24"/>
              </w:rPr>
            </w:pPr>
            <w:r>
              <w:rPr>
                <w:rFonts w:ascii="仿宋" w:hAnsi="仿宋" w:eastAsia="仿宋"/>
                <w:sz w:val="24"/>
              </w:rPr>
              <w:t>6、新燃料应用研究与推广。</w:t>
            </w:r>
          </w:p>
        </w:tc>
        <w:tc>
          <w:tcPr>
            <w:tcW w:w="4678" w:type="dxa"/>
            <w:vAlign w:val="center"/>
          </w:tcPr>
          <w:p>
            <w:pPr>
              <w:spacing w:line="260" w:lineRule="exact"/>
              <w:rPr>
                <w:rFonts w:ascii="仿宋" w:hAnsi="仿宋" w:eastAsia="仿宋"/>
                <w:sz w:val="24"/>
              </w:rPr>
            </w:pPr>
            <w:r>
              <w:rPr>
                <w:rFonts w:ascii="仿宋" w:hAnsi="仿宋" w:eastAsia="仿宋"/>
                <w:sz w:val="24"/>
              </w:rPr>
              <w:t>金属冶炼采用天然气等清洁能源，替代烟煤、重油等重污染能源。</w:t>
            </w:r>
          </w:p>
        </w:tc>
        <w:tc>
          <w:tcPr>
            <w:tcW w:w="1944" w:type="dxa"/>
            <w:vAlign w:val="center"/>
          </w:tcPr>
          <w:p>
            <w:pPr>
              <w:spacing w:line="300" w:lineRule="exact"/>
              <w:jc w:val="center"/>
              <w:rPr>
                <w:rFonts w:ascii="仿宋" w:hAnsi="仿宋" w:eastAsia="仿宋"/>
                <w:sz w:val="24"/>
              </w:rPr>
            </w:pPr>
            <w:r>
              <w:rPr>
                <w:rFonts w:ascii="仿宋" w:hAnsi="仿宋" w:eastAsia="仿宋"/>
                <w:sz w:val="24"/>
              </w:rPr>
              <w:t>2015---2017年</w:t>
            </w:r>
          </w:p>
        </w:tc>
        <w:tc>
          <w:tcPr>
            <w:tcW w:w="1276" w:type="dxa"/>
            <w:vAlign w:val="center"/>
          </w:tcPr>
          <w:p>
            <w:pPr>
              <w:spacing w:line="300" w:lineRule="exact"/>
              <w:jc w:val="center"/>
              <w:rPr>
                <w:rFonts w:ascii="仿宋" w:hAnsi="仿宋" w:eastAsia="仿宋"/>
                <w:sz w:val="24"/>
              </w:rPr>
            </w:pPr>
            <w:r>
              <w:rPr>
                <w:rFonts w:ascii="仿宋" w:hAnsi="仿宋" w:eastAsia="仿宋"/>
                <w:sz w:val="24"/>
              </w:rPr>
              <w:t>200</w:t>
            </w:r>
          </w:p>
        </w:tc>
        <w:tc>
          <w:tcPr>
            <w:tcW w:w="1308" w:type="dxa"/>
            <w:vMerge w:val="continue"/>
            <w:vAlign w:val="center"/>
          </w:tcPr>
          <w:p>
            <w:pPr>
              <w:spacing w:line="3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9" w:type="dxa"/>
            <w:vMerge w:val="continue"/>
            <w:vAlign w:val="center"/>
          </w:tcPr>
          <w:p>
            <w:pPr>
              <w:spacing w:line="300" w:lineRule="exact"/>
              <w:rPr>
                <w:rFonts w:ascii="仿宋" w:hAnsi="仿宋" w:eastAsia="仿宋"/>
                <w:sz w:val="24"/>
              </w:rPr>
            </w:pPr>
          </w:p>
        </w:tc>
        <w:tc>
          <w:tcPr>
            <w:tcW w:w="3599" w:type="dxa"/>
            <w:vAlign w:val="center"/>
          </w:tcPr>
          <w:p>
            <w:pPr>
              <w:spacing w:line="300" w:lineRule="exact"/>
              <w:rPr>
                <w:rFonts w:ascii="仿宋" w:hAnsi="仿宋" w:eastAsia="仿宋"/>
                <w:sz w:val="24"/>
              </w:rPr>
            </w:pPr>
            <w:r>
              <w:rPr>
                <w:rFonts w:ascii="仿宋" w:hAnsi="仿宋" w:eastAsia="仿宋"/>
                <w:sz w:val="24"/>
              </w:rPr>
              <w:t>7、循环水利用方案研究与设计。</w:t>
            </w:r>
          </w:p>
        </w:tc>
        <w:tc>
          <w:tcPr>
            <w:tcW w:w="4678" w:type="dxa"/>
            <w:vAlign w:val="center"/>
          </w:tcPr>
          <w:p>
            <w:pPr>
              <w:spacing w:line="260" w:lineRule="exact"/>
              <w:rPr>
                <w:rFonts w:ascii="仿宋" w:hAnsi="仿宋" w:eastAsia="仿宋"/>
                <w:sz w:val="24"/>
              </w:rPr>
            </w:pPr>
            <w:r>
              <w:rPr>
                <w:rFonts w:ascii="仿宋" w:hAnsi="仿宋" w:eastAsia="仿宋"/>
                <w:sz w:val="24"/>
              </w:rPr>
              <w:t>探索井下水、厂内循环水等对选矿工艺指标的影响，探寻科学方式确保回收指标，解决选厂用水问题。</w:t>
            </w:r>
          </w:p>
        </w:tc>
        <w:tc>
          <w:tcPr>
            <w:tcW w:w="1944" w:type="dxa"/>
            <w:vAlign w:val="center"/>
          </w:tcPr>
          <w:p>
            <w:pPr>
              <w:spacing w:line="300" w:lineRule="exact"/>
              <w:jc w:val="center"/>
              <w:rPr>
                <w:rFonts w:ascii="仿宋" w:hAnsi="仿宋" w:eastAsia="仿宋"/>
                <w:sz w:val="24"/>
              </w:rPr>
            </w:pPr>
            <w:r>
              <w:rPr>
                <w:rFonts w:ascii="仿宋" w:hAnsi="仿宋" w:eastAsia="仿宋"/>
                <w:sz w:val="24"/>
              </w:rPr>
              <w:t>2015---2020年</w:t>
            </w:r>
          </w:p>
        </w:tc>
        <w:tc>
          <w:tcPr>
            <w:tcW w:w="1276" w:type="dxa"/>
            <w:vAlign w:val="center"/>
          </w:tcPr>
          <w:p>
            <w:pPr>
              <w:spacing w:line="300" w:lineRule="exact"/>
              <w:jc w:val="center"/>
              <w:rPr>
                <w:rFonts w:ascii="仿宋" w:hAnsi="仿宋" w:eastAsia="仿宋"/>
                <w:sz w:val="24"/>
              </w:rPr>
            </w:pPr>
            <w:r>
              <w:rPr>
                <w:rFonts w:ascii="仿宋" w:hAnsi="仿宋" w:eastAsia="仿宋"/>
                <w:sz w:val="24"/>
              </w:rPr>
              <w:t>500</w:t>
            </w:r>
          </w:p>
        </w:tc>
        <w:tc>
          <w:tcPr>
            <w:tcW w:w="1308" w:type="dxa"/>
            <w:vMerge w:val="continue"/>
            <w:vAlign w:val="center"/>
          </w:tcPr>
          <w:p>
            <w:pPr>
              <w:spacing w:line="3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369" w:type="dxa"/>
            <w:vMerge w:val="continue"/>
            <w:vAlign w:val="center"/>
          </w:tcPr>
          <w:p>
            <w:pPr>
              <w:spacing w:line="300" w:lineRule="exact"/>
              <w:rPr>
                <w:rFonts w:ascii="仿宋" w:hAnsi="仿宋" w:eastAsia="仿宋"/>
                <w:sz w:val="24"/>
              </w:rPr>
            </w:pPr>
          </w:p>
        </w:tc>
        <w:tc>
          <w:tcPr>
            <w:tcW w:w="3599" w:type="dxa"/>
            <w:vAlign w:val="center"/>
          </w:tcPr>
          <w:p>
            <w:pPr>
              <w:spacing w:line="300" w:lineRule="exact"/>
              <w:rPr>
                <w:rFonts w:ascii="仿宋" w:hAnsi="仿宋" w:eastAsia="仿宋"/>
                <w:sz w:val="24"/>
              </w:rPr>
            </w:pPr>
            <w:r>
              <w:rPr>
                <w:rFonts w:ascii="仿宋" w:hAnsi="仿宋" w:eastAsia="仿宋"/>
                <w:sz w:val="24"/>
              </w:rPr>
              <w:t>8、氧化钨生产工艺研究。</w:t>
            </w:r>
          </w:p>
        </w:tc>
        <w:tc>
          <w:tcPr>
            <w:tcW w:w="4678" w:type="dxa"/>
            <w:vAlign w:val="center"/>
          </w:tcPr>
          <w:p>
            <w:pPr>
              <w:spacing w:line="300" w:lineRule="exact"/>
              <w:rPr>
                <w:rFonts w:ascii="仿宋" w:hAnsi="仿宋" w:eastAsia="仿宋"/>
                <w:sz w:val="24"/>
              </w:rPr>
            </w:pPr>
            <w:r>
              <w:rPr>
                <w:rFonts w:ascii="仿宋" w:hAnsi="仿宋" w:eastAsia="仿宋"/>
                <w:sz w:val="24"/>
              </w:rPr>
              <w:t>探索氧化钨生产高效节能新工艺。</w:t>
            </w:r>
          </w:p>
        </w:tc>
        <w:tc>
          <w:tcPr>
            <w:tcW w:w="1944" w:type="dxa"/>
            <w:vAlign w:val="center"/>
          </w:tcPr>
          <w:p>
            <w:pPr>
              <w:spacing w:line="300" w:lineRule="exact"/>
              <w:jc w:val="center"/>
              <w:rPr>
                <w:rFonts w:ascii="仿宋" w:hAnsi="仿宋" w:eastAsia="仿宋"/>
                <w:sz w:val="24"/>
              </w:rPr>
            </w:pPr>
            <w:r>
              <w:rPr>
                <w:rFonts w:ascii="仿宋" w:hAnsi="仿宋" w:eastAsia="仿宋"/>
                <w:sz w:val="24"/>
              </w:rPr>
              <w:t>2016---2020年</w:t>
            </w:r>
          </w:p>
        </w:tc>
        <w:tc>
          <w:tcPr>
            <w:tcW w:w="1276" w:type="dxa"/>
            <w:vAlign w:val="center"/>
          </w:tcPr>
          <w:p>
            <w:pPr>
              <w:spacing w:line="300" w:lineRule="exact"/>
              <w:jc w:val="center"/>
              <w:rPr>
                <w:rFonts w:ascii="仿宋" w:hAnsi="仿宋" w:eastAsia="仿宋"/>
                <w:sz w:val="24"/>
              </w:rPr>
            </w:pPr>
            <w:r>
              <w:rPr>
                <w:rFonts w:ascii="仿宋" w:hAnsi="仿宋" w:eastAsia="仿宋"/>
                <w:sz w:val="24"/>
              </w:rPr>
              <w:t>500</w:t>
            </w:r>
          </w:p>
        </w:tc>
        <w:tc>
          <w:tcPr>
            <w:tcW w:w="1308" w:type="dxa"/>
            <w:vMerge w:val="continue"/>
            <w:vAlign w:val="center"/>
          </w:tcPr>
          <w:p>
            <w:pPr>
              <w:spacing w:line="300" w:lineRule="exact"/>
              <w:rPr>
                <w:rFonts w:ascii="仿宋" w:hAnsi="仿宋" w:eastAsia="仿宋"/>
                <w:sz w:val="24"/>
              </w:rPr>
            </w:pPr>
          </w:p>
        </w:tc>
      </w:tr>
    </w:tbl>
    <w:p>
      <w:pPr>
        <w:pStyle w:val="13"/>
        <w:widowControl w:val="0"/>
        <w:spacing w:line="20" w:lineRule="exact"/>
        <w:ind w:firstLine="420" w:firstLineChars="200"/>
        <w:rPr>
          <w:rFonts w:ascii="仿宋" w:hAnsi="仿宋" w:eastAsia="仿宋"/>
          <w:kern w:val="2"/>
        </w:rPr>
      </w:pPr>
    </w:p>
    <w:sectPr>
      <w:footerReference r:id="rId6" w:type="default"/>
      <w:pgSz w:w="16838" w:h="11906" w:orient="landscape"/>
      <w:pgMar w:top="1418" w:right="1418" w:bottom="1418" w:left="141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4"/>
        <w:szCs w:val="24"/>
      </w:rPr>
    </w:pPr>
    <w:r>
      <w:rPr>
        <w:rStyle w:val="7"/>
        <w:sz w:val="24"/>
        <w:szCs w:val="24"/>
      </w:rPr>
      <w:t xml:space="preserve">— </w:t>
    </w: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20</w:t>
    </w:r>
    <w:r>
      <w:rPr>
        <w:rStyle w:val="7"/>
        <w:sz w:val="24"/>
        <w:szCs w:val="24"/>
      </w:rPr>
      <w:fldChar w:fldCharType="end"/>
    </w:r>
    <w:r>
      <w:rPr>
        <w:rStyle w:val="7"/>
        <w:sz w:val="24"/>
        <w:szCs w:val="24"/>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t xml:space="preserve">— </w:t>
    </w: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26</w:t>
    </w:r>
    <w:r>
      <w:rPr>
        <w:rStyle w:val="7"/>
        <w:sz w:val="24"/>
        <w:szCs w:val="24"/>
      </w:rPr>
      <w:fldChar w:fldCharType="end"/>
    </w:r>
    <w:r>
      <w:rPr>
        <w:rStyle w:val="7"/>
        <w:sz w:val="24"/>
        <w:szCs w:val="24"/>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44E53"/>
    <w:multiLevelType w:val="multilevel"/>
    <w:tmpl w:val="56344E53"/>
    <w:lvl w:ilvl="0" w:tentative="0">
      <w:start w:val="2"/>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BF8"/>
    <w:rsid w:val="000566AE"/>
    <w:rsid w:val="000603A9"/>
    <w:rsid w:val="00063302"/>
    <w:rsid w:val="00071BA8"/>
    <w:rsid w:val="00077EBC"/>
    <w:rsid w:val="00085447"/>
    <w:rsid w:val="00091F05"/>
    <w:rsid w:val="000B1687"/>
    <w:rsid w:val="000C512E"/>
    <w:rsid w:val="001436C1"/>
    <w:rsid w:val="00172A27"/>
    <w:rsid w:val="001D3A44"/>
    <w:rsid w:val="001E4958"/>
    <w:rsid w:val="001E4E8F"/>
    <w:rsid w:val="00256518"/>
    <w:rsid w:val="002622FC"/>
    <w:rsid w:val="00270E31"/>
    <w:rsid w:val="002868DB"/>
    <w:rsid w:val="002A09DC"/>
    <w:rsid w:val="002A2B4B"/>
    <w:rsid w:val="002B5E3E"/>
    <w:rsid w:val="002F00A2"/>
    <w:rsid w:val="00335941"/>
    <w:rsid w:val="00377441"/>
    <w:rsid w:val="00381B9B"/>
    <w:rsid w:val="003820F4"/>
    <w:rsid w:val="00384A67"/>
    <w:rsid w:val="003B6D97"/>
    <w:rsid w:val="003F5679"/>
    <w:rsid w:val="0040405B"/>
    <w:rsid w:val="00436072"/>
    <w:rsid w:val="004960FA"/>
    <w:rsid w:val="004C226D"/>
    <w:rsid w:val="00597815"/>
    <w:rsid w:val="005D2E46"/>
    <w:rsid w:val="00600CA2"/>
    <w:rsid w:val="006427BE"/>
    <w:rsid w:val="00670098"/>
    <w:rsid w:val="00671DFB"/>
    <w:rsid w:val="006C2805"/>
    <w:rsid w:val="006C3C76"/>
    <w:rsid w:val="006D767E"/>
    <w:rsid w:val="006E1BA1"/>
    <w:rsid w:val="00702FD8"/>
    <w:rsid w:val="00731858"/>
    <w:rsid w:val="0073250D"/>
    <w:rsid w:val="00744DA1"/>
    <w:rsid w:val="007B053E"/>
    <w:rsid w:val="007B306D"/>
    <w:rsid w:val="00832950"/>
    <w:rsid w:val="00842B5B"/>
    <w:rsid w:val="008519BE"/>
    <w:rsid w:val="00860E00"/>
    <w:rsid w:val="008907FC"/>
    <w:rsid w:val="008C6A0C"/>
    <w:rsid w:val="00901990"/>
    <w:rsid w:val="009537CB"/>
    <w:rsid w:val="009A592A"/>
    <w:rsid w:val="009B410E"/>
    <w:rsid w:val="009F0349"/>
    <w:rsid w:val="00A06D86"/>
    <w:rsid w:val="00A11C82"/>
    <w:rsid w:val="00A14AB6"/>
    <w:rsid w:val="00A3515D"/>
    <w:rsid w:val="00A42B5D"/>
    <w:rsid w:val="00A42D66"/>
    <w:rsid w:val="00A60DAD"/>
    <w:rsid w:val="00A9375F"/>
    <w:rsid w:val="00AE3916"/>
    <w:rsid w:val="00B03DA9"/>
    <w:rsid w:val="00B22AEA"/>
    <w:rsid w:val="00B555E6"/>
    <w:rsid w:val="00BB7685"/>
    <w:rsid w:val="00BE02F4"/>
    <w:rsid w:val="00BF4A2B"/>
    <w:rsid w:val="00C13A45"/>
    <w:rsid w:val="00C13B1D"/>
    <w:rsid w:val="00C35B7F"/>
    <w:rsid w:val="00C95701"/>
    <w:rsid w:val="00CE19A0"/>
    <w:rsid w:val="00CE7C05"/>
    <w:rsid w:val="00D03AAA"/>
    <w:rsid w:val="00D92D5F"/>
    <w:rsid w:val="00DB2B60"/>
    <w:rsid w:val="00DD569E"/>
    <w:rsid w:val="00E35AC8"/>
    <w:rsid w:val="00E4568D"/>
    <w:rsid w:val="00E525C2"/>
    <w:rsid w:val="00E52951"/>
    <w:rsid w:val="00E75283"/>
    <w:rsid w:val="00E77CF2"/>
    <w:rsid w:val="00E9617A"/>
    <w:rsid w:val="00EC55BA"/>
    <w:rsid w:val="00ED7005"/>
    <w:rsid w:val="00F32338"/>
    <w:rsid w:val="00F44022"/>
    <w:rsid w:val="00FA52B7"/>
    <w:rsid w:val="00FC2651"/>
    <w:rsid w:val="07855BA3"/>
    <w:rsid w:val="09825A9C"/>
    <w:rsid w:val="0AAD5626"/>
    <w:rsid w:val="0F3605EA"/>
    <w:rsid w:val="2A624BCC"/>
    <w:rsid w:val="2D080AAE"/>
    <w:rsid w:val="3C54423E"/>
    <w:rsid w:val="441C0C2A"/>
    <w:rsid w:val="4F1B22AA"/>
    <w:rsid w:val="56D5697C"/>
    <w:rsid w:val="5BB845D7"/>
    <w:rsid w:val="5DD45474"/>
    <w:rsid w:val="5E553386"/>
    <w:rsid w:val="63341380"/>
    <w:rsid w:val="65672E18"/>
    <w:rsid w:val="67A25221"/>
    <w:rsid w:val="67DC57AB"/>
    <w:rsid w:val="683B20E0"/>
    <w:rsid w:val="7136469C"/>
    <w:rsid w:val="7B73493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page number"/>
    <w:basedOn w:val="6"/>
    <w:uiPriority w:val="0"/>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码1"/>
    <w:basedOn w:val="6"/>
    <w:uiPriority w:val="0"/>
    <w:rPr>
      <w:rFonts w:cs="Times New Roman"/>
    </w:rPr>
  </w:style>
  <w:style w:type="paragraph" w:customStyle="1" w:styleId="11">
    <w:name w:val="Char Char1 Char"/>
    <w:basedOn w:val="1"/>
    <w:uiPriority w:val="0"/>
    <w:pPr>
      <w:widowControl/>
      <w:spacing w:after="160" w:line="240" w:lineRule="exact"/>
      <w:jc w:val="left"/>
    </w:pPr>
    <w:rPr>
      <w:rFonts w:hint="eastAsia"/>
      <w:szCs w:val="20"/>
    </w:rPr>
  </w:style>
  <w:style w:type="paragraph" w:customStyle="1" w:styleId="12">
    <w:name w:val="Char"/>
    <w:basedOn w:val="1"/>
    <w:qFormat/>
    <w:uiPriority w:val="0"/>
    <w:rPr>
      <w:rFonts w:hint="eastAsia"/>
      <w:szCs w:val="20"/>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26</Pages>
  <Words>2155</Words>
  <Characters>12284</Characters>
  <Lines>102</Lines>
  <Paragraphs>28</Paragraphs>
  <TotalTime>0</TotalTime>
  <ScaleCrop>false</ScaleCrop>
  <LinksUpToDate>false</LinksUpToDate>
  <CharactersWithSpaces>14411</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2016-10-31T08:45:00Z</dcterms:created>
  <dc:creator>lenovo</dc:creator>
  <cp:lastModifiedBy>admin</cp:lastModifiedBy>
  <cp:lastPrinted>2016-10-26T01:19:00Z</cp:lastPrinted>
  <dcterms:modified xsi:type="dcterms:W3CDTF">2016-12-12T06:47:12Z</dcterms:modified>
  <dc:title>关于推进湖南制造强省建设2015年工作情况</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