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ind w:firstLine="0" w:firstLineChars="0"/>
        <w:jc w:val="left"/>
        <w:rPr>
          <w:rFonts w:hint="default" w:ascii="Times New Roman" w:hAnsi="Times New Roman" w:eastAsia="仿宋_GB2312" w:cs="Times New Roman"/>
          <w:b w:val="0"/>
          <w:spacing w:val="0"/>
          <w:w w:val="100"/>
          <w:kern w:val="0"/>
          <w:sz w:val="28"/>
          <w:szCs w:val="28"/>
          <w:lang w:val="en-US" w:eastAsia="zh-CN"/>
        </w:rPr>
      </w:pPr>
      <w:bookmarkStart w:id="0" w:name="wenhao"/>
      <w:r>
        <w:rPr>
          <w:rFonts w:hint="eastAsia" w:ascii="Times New Roman" w:hAnsi="Times New Roman" w:eastAsia="仿宋_GB2312" w:cs="Times New Roman"/>
          <w:i w:val="0"/>
          <w:caps w:val="0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HNPR-202</w:t>
      </w:r>
      <w:r>
        <w:rPr>
          <w:rFonts w:hint="default" w:ascii="Times New Roman" w:hAnsi="Times New Roman" w:eastAsia="仿宋_GB2312" w:cs="Times New Roman"/>
          <w:i w:val="0"/>
          <w:caps w:val="0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3</w:t>
      </w:r>
      <w:r>
        <w:rPr>
          <w:rFonts w:hint="eastAsia" w:ascii="Times New Roman" w:hAnsi="Times New Roman" w:eastAsia="仿宋_GB2312" w:cs="Times New Roman"/>
          <w:i w:val="0"/>
          <w:caps w:val="0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-07001</w:t>
      </w:r>
    </w:p>
    <w:p>
      <w:pPr>
        <w:spacing w:line="500" w:lineRule="exact"/>
        <w:jc w:val="center"/>
        <w:rPr>
          <w:rFonts w:ascii="Times New Roman" w:hAnsi="Times New Roman" w:eastAsia="方正小标宋_GBK"/>
          <w:b/>
          <w:color w:val="FF0000"/>
          <w:spacing w:val="100"/>
          <w:w w:val="68"/>
          <w:sz w:val="44"/>
          <w:szCs w:val="44"/>
        </w:rPr>
      </w:pPr>
    </w:p>
    <w:p>
      <w:pPr>
        <w:spacing w:line="240" w:lineRule="exact"/>
        <w:jc w:val="center"/>
        <w:rPr>
          <w:rFonts w:ascii="Times New Roman" w:hAnsi="Times New Roman" w:eastAsia="方正小标宋_GBK"/>
          <w:b/>
          <w:color w:val="FF0000"/>
          <w:spacing w:val="40"/>
          <w:w w:val="85"/>
          <w:sz w:val="18"/>
          <w:szCs w:val="18"/>
        </w:rPr>
      </w:pPr>
    </w:p>
    <w:p>
      <w:pPr>
        <w:spacing w:line="240" w:lineRule="exact"/>
        <w:jc w:val="center"/>
        <w:rPr>
          <w:rFonts w:ascii="Times New Roman" w:hAnsi="Times New Roman" w:eastAsia="方正小标宋_GBK"/>
          <w:b/>
          <w:color w:val="FF0000"/>
          <w:spacing w:val="40"/>
          <w:w w:val="85"/>
          <w:sz w:val="18"/>
          <w:szCs w:val="18"/>
        </w:rPr>
      </w:pPr>
    </w:p>
    <w:p>
      <w:pPr>
        <w:jc w:val="center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ascii="Times New Roman" w:hAnsi="Times New Roman" w:eastAsia="仿宋_GB2312"/>
          <w:color w:val="000000"/>
          <w:sz w:val="30"/>
          <w:szCs w:val="30"/>
        </w:rPr>
        <w:t>湘</w:t>
      </w:r>
      <w:r>
        <w:rPr>
          <w:rFonts w:hint="eastAsia" w:ascii="Times New Roman" w:hAnsi="Times New Roman" w:eastAsia="仿宋_GB2312"/>
          <w:color w:val="000000"/>
          <w:sz w:val="30"/>
          <w:szCs w:val="30"/>
          <w:lang w:eastAsia="zh-CN"/>
        </w:rPr>
        <w:t>公</w:t>
      </w:r>
      <w:r>
        <w:rPr>
          <w:rFonts w:ascii="Times New Roman" w:hAnsi="Times New Roman" w:eastAsia="仿宋_GB2312"/>
          <w:color w:val="000000"/>
          <w:sz w:val="30"/>
          <w:szCs w:val="30"/>
        </w:rPr>
        <w:t>发〔202</w:t>
      </w:r>
      <w:r>
        <w:rPr>
          <w:rFonts w:hint="eastAsia" w:ascii="Times New Roman" w:hAnsi="Times New Roman" w:eastAsia="仿宋_GB2312"/>
          <w:color w:val="000000"/>
          <w:sz w:val="30"/>
          <w:szCs w:val="30"/>
          <w:lang w:val="en-US" w:eastAsia="zh-CN"/>
        </w:rPr>
        <w:t>3</w:t>
      </w:r>
      <w:r>
        <w:rPr>
          <w:rFonts w:ascii="Times New Roman" w:hAnsi="Times New Roman" w:eastAsia="仿宋_GB2312"/>
          <w:color w:val="000000"/>
          <w:sz w:val="30"/>
          <w:szCs w:val="30"/>
        </w:rPr>
        <w:t>〕</w:t>
      </w:r>
      <w:r>
        <w:rPr>
          <w:rFonts w:hint="default" w:ascii="Times New Roman" w:hAnsi="Times New Roman" w:eastAsia="仿宋_GB2312"/>
          <w:color w:val="000000"/>
          <w:sz w:val="30"/>
          <w:szCs w:val="30"/>
        </w:rPr>
        <w:t>5</w:t>
      </w:r>
      <w:r>
        <w:rPr>
          <w:rFonts w:ascii="Times New Roman" w:hAnsi="Times New Roman" w:eastAsia="仿宋_GB2312"/>
          <w:color w:val="000000"/>
          <w:sz w:val="30"/>
          <w:szCs w:val="30"/>
        </w:rPr>
        <w:t>号</w:t>
      </w:r>
    </w:p>
    <w:p>
      <w:pPr>
        <w:spacing w:line="560" w:lineRule="exact"/>
        <w:jc w:val="center"/>
        <w:rPr>
          <w:rFonts w:ascii="Times New Roman" w:hAnsi="Times New Roman" w:eastAsia="方正小标宋简体"/>
          <w:b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b/>
          <w:sz w:val="36"/>
          <w:szCs w:val="36"/>
        </w:rPr>
      </w:pPr>
    </w:p>
    <w:bookmarkEnd w:id="0"/>
    <w:p>
      <w:pPr>
        <w:spacing w:line="600" w:lineRule="exact"/>
        <w:jc w:val="center"/>
        <w:outlineLvl w:val="9"/>
        <w:rPr>
          <w:rFonts w:hint="default" w:ascii="Times New Roman" w:hAnsi="Times New Roman" w:eastAsia="方正小标宋_GBK"/>
          <w:b w:val="0"/>
          <w:bCs/>
          <w:spacing w:val="3"/>
          <w:sz w:val="44"/>
          <w:szCs w:val="32"/>
        </w:rPr>
      </w:pPr>
      <w:r>
        <w:rPr>
          <w:rFonts w:hint="default" w:ascii="Times New Roman" w:hAnsi="Times New Roman" w:eastAsia="方正小标宋_GBK"/>
          <w:b w:val="0"/>
          <w:bCs/>
          <w:spacing w:val="3"/>
          <w:sz w:val="44"/>
          <w:szCs w:val="32"/>
        </w:rPr>
        <w:t>湖南省</w:t>
      </w:r>
      <w:r>
        <w:rPr>
          <w:rFonts w:hint="eastAsia" w:ascii="Times New Roman" w:hAnsi="Times New Roman" w:eastAsia="方正小标宋_GBK"/>
          <w:b w:val="0"/>
          <w:bCs/>
          <w:spacing w:val="3"/>
          <w:sz w:val="44"/>
          <w:szCs w:val="32"/>
          <w:lang w:eastAsia="zh-CN"/>
        </w:rPr>
        <w:t>公</w:t>
      </w:r>
      <w:bookmarkStart w:id="1" w:name="_GoBack"/>
      <w:bookmarkEnd w:id="1"/>
      <w:r>
        <w:rPr>
          <w:rFonts w:hint="eastAsia" w:ascii="Times New Roman" w:hAnsi="Times New Roman" w:eastAsia="方正小标宋_GBK"/>
          <w:b w:val="0"/>
          <w:bCs/>
          <w:spacing w:val="3"/>
          <w:sz w:val="44"/>
          <w:szCs w:val="32"/>
          <w:lang w:eastAsia="zh-CN"/>
        </w:rPr>
        <w:t>安</w:t>
      </w:r>
      <w:r>
        <w:rPr>
          <w:rFonts w:hint="default" w:ascii="Times New Roman" w:hAnsi="Times New Roman" w:eastAsia="方正小标宋_GBK"/>
          <w:b w:val="0"/>
          <w:bCs/>
          <w:spacing w:val="3"/>
          <w:sz w:val="44"/>
          <w:szCs w:val="32"/>
        </w:rPr>
        <w:t>厅</w:t>
      </w:r>
    </w:p>
    <w:p>
      <w:pPr>
        <w:spacing w:line="600" w:lineRule="exact"/>
        <w:jc w:val="center"/>
        <w:outlineLvl w:val="9"/>
        <w:rPr>
          <w:rFonts w:hint="eastAsia" w:ascii="Times New Roman" w:hAnsi="Times New Roman" w:eastAsia="方正小标宋_GBK"/>
          <w:b w:val="0"/>
          <w:bCs/>
          <w:spacing w:val="3"/>
          <w:sz w:val="44"/>
          <w:szCs w:val="32"/>
          <w:lang w:eastAsia="zh-CN"/>
        </w:rPr>
      </w:pPr>
      <w:r>
        <w:rPr>
          <w:rFonts w:hint="default" w:ascii="Times New Roman" w:hAnsi="Times New Roman" w:eastAsia="方正小标宋_GBK"/>
          <w:b w:val="0"/>
          <w:bCs/>
          <w:spacing w:val="3"/>
          <w:sz w:val="44"/>
          <w:szCs w:val="32"/>
        </w:rPr>
        <w:t>关于印发《湖南省</w:t>
      </w:r>
      <w:r>
        <w:rPr>
          <w:rFonts w:hint="eastAsia" w:ascii="Times New Roman" w:hAnsi="Times New Roman" w:eastAsia="方正小标宋_GBK"/>
          <w:b w:val="0"/>
          <w:bCs/>
          <w:spacing w:val="3"/>
          <w:sz w:val="44"/>
          <w:szCs w:val="32"/>
          <w:lang w:eastAsia="zh-CN"/>
        </w:rPr>
        <w:t>公安机关办理吸毒</w:t>
      </w:r>
    </w:p>
    <w:p>
      <w:pPr>
        <w:spacing w:line="600" w:lineRule="exact"/>
        <w:jc w:val="center"/>
        <w:outlineLvl w:val="9"/>
        <w:rPr>
          <w:rFonts w:hint="default" w:ascii="Times New Roman" w:hAnsi="Times New Roman" w:eastAsia="方正小标宋_GBK"/>
          <w:b w:val="0"/>
          <w:bCs/>
          <w:spacing w:val="3"/>
          <w:sz w:val="44"/>
          <w:szCs w:val="32"/>
        </w:rPr>
      </w:pPr>
      <w:r>
        <w:rPr>
          <w:rFonts w:hint="eastAsia" w:ascii="Times New Roman" w:hAnsi="Times New Roman" w:eastAsia="方正小标宋_GBK"/>
          <w:b w:val="0"/>
          <w:bCs/>
          <w:spacing w:val="3"/>
          <w:sz w:val="44"/>
          <w:szCs w:val="32"/>
          <w:lang w:eastAsia="zh-CN"/>
        </w:rPr>
        <w:t>行政案件规定</w:t>
      </w:r>
      <w:r>
        <w:rPr>
          <w:rFonts w:hint="default" w:ascii="Times New Roman" w:hAnsi="Times New Roman" w:eastAsia="方正小标宋_GBK"/>
          <w:b w:val="0"/>
          <w:bCs/>
          <w:spacing w:val="3"/>
          <w:sz w:val="44"/>
          <w:szCs w:val="32"/>
        </w:rPr>
        <w:t>》的通知</w:t>
      </w:r>
    </w:p>
    <w:p>
      <w:pPr>
        <w:spacing w:line="600" w:lineRule="exact"/>
        <w:ind w:firstLine="654" w:firstLineChars="200"/>
        <w:rPr>
          <w:rFonts w:hint="default" w:ascii="Times New Roman" w:hAnsi="Times New Roman" w:eastAsia="仿宋_GB2312"/>
          <w:b/>
          <w:spacing w:val="3"/>
          <w:sz w:val="32"/>
          <w:szCs w:val="32"/>
        </w:rPr>
      </w:pPr>
    </w:p>
    <w:p>
      <w:pPr>
        <w:shd w:val="clear" w:color="auto" w:fill="FFFFFF"/>
        <w:spacing w:line="600" w:lineRule="exac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各市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州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公安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局：</w:t>
      </w:r>
    </w:p>
    <w:p>
      <w:pPr>
        <w:shd w:val="clear" w:color="auto" w:fill="FFFFFF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为进一步规范我省公安机关办理吸毒行政案件，加大对吸毒人员的查控力度，遏制毒品来源，遏制吸毒人员滋生，遏制毒品危害，省厅制定了《湖南省公安机关办理吸毒行政案件规定》，已经厅领导审定同意。现印发给你们，请结合本地执法工作实际，认真遵照执行。</w:t>
      </w:r>
    </w:p>
    <w:p>
      <w:pPr>
        <w:shd w:val="clear" w:color="auto" w:fill="FFFFFF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各地执行中遇到的问题，请及时报告省厅。</w:t>
      </w:r>
    </w:p>
    <w:p>
      <w:pPr>
        <w:shd w:val="clear" w:color="auto" w:fill="FFFFFF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shd w:val="clear" w:color="auto" w:fill="FFFFFF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shd w:val="clear" w:color="auto" w:fill="FFFFFF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shd w:val="clear" w:color="auto" w:fill="FFFFFF"/>
        <w:spacing w:line="600" w:lineRule="exact"/>
        <w:ind w:left="0" w:leftChars="0" w:firstLine="4393" w:firstLineChars="1373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湖南省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公安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厅</w:t>
      </w:r>
    </w:p>
    <w:p>
      <w:pPr>
        <w:shd w:val="clear" w:color="auto" w:fill="FFFFFF"/>
        <w:spacing w:line="600" w:lineRule="exact"/>
        <w:ind w:left="0" w:leftChars="0" w:firstLine="4393" w:firstLineChars="1373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年2月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line="620" w:lineRule="exact"/>
        <w:ind w:left="-315" w:leftChars="-150" w:right="-315" w:rightChars="-150"/>
        <w:textAlignment w:val="auto"/>
        <w:rPr>
          <w:rFonts w:hint="default" w:ascii="Times New Roman" w:hAnsi="Times New Roman" w:cs="Times New Roman"/>
          <w:b w:val="0"/>
          <w:bCs w:val="0"/>
          <w:color w:val="auto"/>
          <w:highlight w:val="none"/>
          <w:lang w:eastAsia="zh-CN"/>
        </w:rPr>
      </w:pPr>
      <w:r>
        <w:rPr>
          <w:rFonts w:ascii="Times New Roman" w:hAnsi="Times New Roma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20" w:lineRule="exact"/>
        <w:ind w:left="-315" w:leftChars="-150" w:right="-315" w:rightChars="-15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湖南省公安机关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</w:rPr>
        <w:t>办理吸毒行政案件规定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line="620" w:lineRule="exact"/>
        <w:ind w:left="-315" w:leftChars="-150" w:right="-315" w:rightChars="-150" w:firstLine="0" w:firstLineChars="0"/>
        <w:jc w:val="center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第一条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 xml:space="preserve">  为规范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省公安机关吸毒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行政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案件的办理，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有效打击吸食、注射毒品的违法行为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，根据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中华人民共和国治安管理处罚法》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《中华人民共和国禁毒法》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</w:rPr>
        <w:t>《戒毒条例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</w:rPr>
        <w:t>《吸毒检测程序规定》《吸毒成瘾认定办法》《涉毒人员毛发样本检测规范》等相关规定，结合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我省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</w:rPr>
        <w:t>实际，制定本规定。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第二条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本规定所称吸毒行政案件，是指公安机关依法对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吸食、注射毒品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违法行为人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作出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行政处罚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决定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以及责令社区戒毒、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决定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强制隔离戒毒、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责令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社区康复等处理措施的案件。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三条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吸毒行政案件由吸毒行为发生地公安机关管辖。吸毒行为作为一种持续状态，发现地公安机关可以按照吸毒行为发生地原则予以管辖。吸毒行为实际发生地公安机关已对吸毒人员依法处理的，发现地公安机关则不得对同一行为作出处理决定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办理毒品刑事案件的公安机关，对与刑事案件直接关联的应当由其他公安机关管辖的吸毒行政案件，经共同上级公安机关指定管辖的，可以办理。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涉嫌吸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食、注射毒品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人员人体生物样本检测呈阳性，且具有以下情形之一的，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公安机关可以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认定其有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吸食、注射毒品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的行为，应当依法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给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予行政处罚：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（一）本人两次以上陈述有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吸食、注射毒品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行为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 xml:space="preserve">（两次询问笔录的询问人、记录人不得完全相同）；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（二）本人陈述有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吸食、注射毒品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的行为，且有证人证言或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其他证据（包括物证，书证，视听资料，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电子数据，鉴定、检测意见，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勘验、检查笔录，现场笔录等）证明的；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（三）本人不承认有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吸食、注射毒品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的行为，但有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两人以上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证人证言或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者其他两项以上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证据（包括物证，书证，视听资料，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电子数据，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证人证言，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鉴定、检测意见，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勘验、检查笔录，现场笔录等）证明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吸食、注射毒品行为的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有吸毒史的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涉嫌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吸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食、注射毒品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人员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毛发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样本实验室检测呈阳性，且同时具有以下情形的，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公安机关可以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认定其有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吸食、注射毒品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的行为，应当依法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给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予行政处罚：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（一）提取毛发样本距其前一次因吸毒被查处时间超过6个月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（二）排除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强迫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、欺骗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等被动摄入情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/>
        </w:rPr>
        <w:t>况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，以及因治疗疾病合法服用药物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情形；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（三）办案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部门已经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告知涉嫌吸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食、注射毒品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人员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享有陈述和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申辩的权利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涉嫌吸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食、注射毒品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人员未提出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陈述和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申辩或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提出的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陈述和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申辩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事实、理由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经查证不成立。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涉嫌吸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食、注射毒品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人员申辩的事实和理由，符合日常生活经验和逻辑的，不宜认定其有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吸食、注射毒品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的行为。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六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 xml:space="preserve"> 涉嫌滥用国家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规定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管制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的能够使人形成瘾癖的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麻醉药品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或者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精神药品，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不具备人体生物样本检测条件，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同时具有以下情形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公安机关可以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认定其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有吸食、注射毒品的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行为，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应当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依法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给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予行政处罚：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（一）本人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陈述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吸食、注射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麻醉药品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或者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精神药品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行为；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（二）有证人证言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或者其他证据证明，形成证据链，排除合理怀疑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七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非医疗目的滥用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含精神活性的非列管物质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（含国家尚未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规定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管制的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麻醉药品和精神药品、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处方药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的，公安机关应当予以法制教育并告知危害后果；滥用人员是未成年人的，应当通知其监护人。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第八条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吸毒人员可以自行到戒毒机构接受戒毒治疗，对自愿接受戒毒治疗的吸毒人员，公安机关对其原吸食、注射毒品行为不予处罚。自愿戒毒之日起6个月内，毛发样本实验室检测呈阳性，但无其他证据证明有吸食、注射毒品的行为，不得给予行政处罚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九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 xml:space="preserve">  公安机关对吸毒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人员给予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行政处罚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同时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应当进行吸毒成瘾认定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采取相应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戒毒措施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因技术原因认定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困难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，可以委托有资质的戒毒医疗机构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进行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认定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公安机关或者戒毒医疗机构认定吸毒成瘾，应当提出认定意见或者出具吸毒成瘾认定报告，由认定人员签名并加盖所在单位公章。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 xml:space="preserve"> 吸毒人员同时具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以下情形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，公安机关认定其吸毒成瘾，可以责令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其接受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社区戒毒：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（一）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血液、尿液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唾液等人体生物样本检测证明其体内含有毒品成分；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（二）有证据证明其有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使用毒品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行为；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（三）有戒断症状或者有证据证明吸毒史，包括曾经因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使用毒品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被公安机关查处、曾经进行自愿戒毒、人体毛发样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检测出毒品成分等情形。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戒断症状的具体情形，参照卫生部制定的《阿片类药物依赖诊断治疗指导原则》《苯丙胺类药物依赖诊断治疗指导原则》《氯胺酮依赖诊断治疗指导原则》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确定，可以从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吸毒人员不顾不良后果、强迫性寻求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及使用毒品等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行为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表现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中把握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现场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摄的视听资料、证人证言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可作为证明吸毒人员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具有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戒断症状的证据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必要时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可以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聘请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有资质的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戒毒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医疗机构出具有戒断症状的证明。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公安机关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责令社区戒毒文书（一式五份）由决定机关送达被执行人及其家属、被执行人户籍地派出所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执行地乡镇人民政府或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城市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街道办事处。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十一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吸毒人员具有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下列情形之一的，公安机关可以认定其有第十条第一款第三项中所称的吸毒史：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（一）曾因吸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食、注射毒品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被公安机关行政处罚的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（由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决定机关出具处罚决定书、通知书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，或者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执行场所出具证明材料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，或者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户籍地公安机关出具关于吸毒人员因吸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食、注射毒品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被处置过的相关证明材料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（二）曾因吸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食、注射毒品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被公安机关处理的情况在全国禁毒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信息综合应用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系统等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信息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系统中有记录，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吸毒人员无异议，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办案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部门打印记录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、加盖公章并经吸毒人员本人签字确认后可作为认定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具有吸毒史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的证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材料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吸毒人员有异议的，办案部门应当向原查处地公安机关调取吸毒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行为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处理决定原件或者加盖原查处地公安机关印章的复印件可作为认定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具有吸毒史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的证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材料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；有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证人证言指认该吸毒人员确有该段吸毒经历的，也可作为认定该吸毒人员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吸毒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史的证明材料；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（三）参加过自愿戒毒的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（由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戒毒机构出具证明材料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）毛发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样本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实验室检测呈阳性。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line="620" w:lineRule="exact"/>
        <w:ind w:left="-315" w:leftChars="-150" w:right="-315" w:rightChars="-150" w:firstLine="64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第十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社区戒毒人员被依法刑事拘留、逮捕的，社区戒毒中止，由看守所给予必要的戒毒治疗，释放后按以下程序继续执行社区戒毒：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topLinePunct w:val="0"/>
        <w:bidi w:val="0"/>
        <w:spacing w:line="620" w:lineRule="exact"/>
        <w:ind w:left="-315" w:leftChars="-150" w:right="-315" w:rightChars="-150" w:firstLine="645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一）由刑事拘留、逮捕变更为取保候审、监视居住或者直接释放的社区戒毒人员，公安机关应当责令其从变更强制措施或者释放之日起15日内到社区戒毒执行地乡镇人民政府、城市街道办事处报到，并通知其家属、户籍所在地或者现居住地乡镇人民政府、城市街道办事处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topLinePunct w:val="0"/>
        <w:bidi w:val="0"/>
        <w:spacing w:line="620" w:lineRule="exact"/>
        <w:ind w:left="-315" w:leftChars="-150" w:right="-315" w:rightChars="-150" w:firstLine="645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二）对公安机关撤案、人民检察院决定不起诉或者人民法院判决无罪、免予刑事处罚、管制、缓刑、单处罚金后释放的社区戒毒人员，公安机关应责令其自收到撤案决定书、不起诉决定书、判决书之日起15日内到社区戒毒执行地乡镇人民政府、城市街道办事处报到，并通知其家属、户籍所在地或者现居住地乡镇人民政府、城市街道办事处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topLinePunct w:val="0"/>
        <w:bidi w:val="0"/>
        <w:spacing w:line="620" w:lineRule="exact"/>
        <w:ind w:left="-315" w:leftChars="-150" w:right="-315" w:rightChars="-15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　　社区戒毒期限自报到之日起计算。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第十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吸毒成瘾人员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有下列情形之一的，认定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吸毒成瘾严重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由县级以上公安机关作出强制隔离戒毒的决定：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（一）曾经被责令社区戒毒、强制隔离戒毒（含《禁毒法》实施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前被强制戒毒或劳教戒毒）、社区康复或者参加过戒毒药物维持治疗，再次吸食、注射毒品的；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（二）有证据证明其采取注射方式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使用毒品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或者至少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次使用累计涉及两类以上毒品的；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（三）有证据证明其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使用毒品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后伴有聚众淫乱、自伤自残或者暴力侵犯他人人身、财产安全或者妨害公共安全等行为的。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本条第一款第二项中“两类以上毒品”是指阿片类（包括鸦片、海洛因、吗啡、杜冷丁等），苯丙胺类（包括各类苯丙胺衍生物），大麻类，可卡因类，芬太尼类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合成大麻素类，以及氯胺酮等其他类毒品。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行政拘留的期限计入强制隔离戒毒期限。拘留所不具备戒毒治疗条件的,可由公安机关管理的强制隔离戒毒所代为执行行政拘留。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第十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 xml:space="preserve">  对吸毒成瘾严重人员决定强制隔离戒毒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应当收集以下证据：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（一）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适用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本规定第四、五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、六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认定有吸毒行为进行行政处罚的证据；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（二）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适用本规定第十、十一条，认定有戒断症状或者吸毒史的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据；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（三）吸毒成瘾严重认定意见书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证明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吸毒成瘾严重的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其他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证据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第十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吸毒成瘾人员有下列情形之一的，由县级以上公安机关作出强制隔离戒毒的决定：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（一）拒绝接受社区戒毒的；　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（二）在社区戒毒期间吸食、注射毒品的；　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（三）严重违反社区戒毒协议的;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（四）经社区戒毒、强制隔离戒毒后再次吸食、注射毒品的。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社区戒毒人员应当自收到责令社区戒毒决定书之日起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15日内到社区戒毒执行地乡镇人民政府、城市街道办事处报到，无正当理由逾期不报到的，视为拒绝接受社区戒毒。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严重违反社区戒毒协议是指社区戒毒人员在社区戒毒期间，逃避或者拒绝接受检测3次以上，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或者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擅自离开社区戒毒执行地所在县（市、区）３次以上或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累计超过30日的。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第十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六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 xml:space="preserve">条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拒绝接受社区戒毒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的吸毒人员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适用强制隔离戒毒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应当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收集以下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证据：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（一）责令社区戒毒决定书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及送达凭证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）社区戒毒执行地乡镇人民政府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城市街道办事处或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社区戒毒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社区康复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工作机构出具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《社区戒毒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社区康复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人员违法/违规行为报告》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第十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七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严重违反社区戒毒协议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的吸毒人员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适用强制隔离戒毒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应当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收集以下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证据：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（一）责令社区戒毒决定书、社区戒毒协议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及送达凭证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（二）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严重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违反社区戒毒协议当事人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陈述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乡镇人民政府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、城市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街道办事处或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社区戒毒社区康复工作机构出具的《社区戒毒社区康复人员违法/违规行为报告》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第十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八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怀孕或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正在哺乳自己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满一周岁婴儿的妇女吸毒成瘾严重的，不适用强制隔离戒毒，可以责令其接受社区戒毒。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lang w:eastAsia="zh-CN"/>
        </w:rPr>
        <w:t>第十九条</w:t>
      </w: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满十六周岁未成年人吸毒成瘾严重的，按照公安部《关于未满十六周岁人员强制隔离戒毒问题的批复》（公复字〔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2014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1号）处理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二十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被强制隔离戒毒的吸毒人员具有以下情形之一的，可以变更为社区戒毒：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患有严重疾病，强制隔离戒毒所不具备治疗条件可能危及生命的；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spacing w:line="620" w:lineRule="exact"/>
        <w:ind w:left="-315" w:leftChars="-150" w:right="-315" w:rightChars="-15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生活不能自理的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）强制隔离戒毒人员患严重疾病所外就医，其健康状况不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适宜回所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继续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执行强制隔离戒毒的。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患有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严重疾病、生活不能自理的认定参照最高人民法院、最高人民检察院、公安部、司法部和国家卫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委出台的《暂予监外执行规定》（司发通〔2014〕112号）所附《保外就医严重疾病范围》执行。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left="-315" w:leftChars="-150" w:right="-315" w:rightChars="-15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对具有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第（一）、（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情形之一，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但有严重滋扰社会治安、影响社会秩序等行为的吸毒人员，经强制隔离戒毒所主管机关批准，强制隔离戒毒所应当予以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收戒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第二十一条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吸食、注射毒品的行为经查证属实，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且有以下证据之一的，公安机关可以认定为吸食、注射毒品后驾驶机动车：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（一）本人两次以上陈述有吸食、注射毒品后驾驶机动车行为（两次询问笔录的询问人、记录人不得完全相同）；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（二）视听资料证明有吸食、注射毒品后驾驶机动车行为；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（三）有证人证言证明有吸食、注射毒品后驾驶机动车行为。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吸食、注射毒品后驾驶机动车的，应当从重处罚。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第二十二条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公安机关查处吸食、注射毒品违法行为，应当调查违法嫌疑人持有机动车驾驶证情况。对符合注销驾驶证情形的，应当通报发证地公安交通管理部门，及时移送以下文书材料：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（一）行政处罚决定书，社区戒毒或者强制隔离戒毒决定书；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（二）吸食、注射毒品后驾驶机动车的其它证据。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line="620" w:lineRule="exact"/>
        <w:ind w:left="-315" w:leftChars="-150" w:right="-315" w:rightChars="-150" w:firstLine="64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</w:rPr>
        <w:t>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有下列特殊情形的，强制隔离戒毒应当同时或者继续执行：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topLinePunct w:val="0"/>
        <w:bidi w:val="0"/>
        <w:spacing w:line="620" w:lineRule="exact"/>
        <w:ind w:left="-315" w:leftChars="-150" w:right="-315" w:rightChars="-15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　　（一）被依法收监执行刑罚或者被依法刑事拘留、逮捕的，由监管场所、羁押场所给予必要的戒毒治疗，强制隔离戒毒的时间连续计算；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topLinePunct w:val="0"/>
        <w:bidi w:val="0"/>
        <w:spacing w:line="620" w:lineRule="exact"/>
        <w:ind w:left="-315" w:leftChars="-150" w:right="-315" w:rightChars="-15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　　（二）被取保候审、监视居住（包括由其他强制措施变更为取保候审、监视居住）的，应当在执行取保候审、监视居住（指定居所监视居住除外）的同时执行强制隔离戒毒；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topLinePunct w:val="0"/>
        <w:bidi w:val="0"/>
        <w:spacing w:line="620" w:lineRule="exact"/>
        <w:ind w:left="-315" w:leftChars="-150" w:right="-315" w:rightChars="-15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　　（三）公安机关撤案、检察院决定不起诉、法院判决无罪、免予刑事处罚、管制、缓刑、单处罚金的犯罪嫌疑人、被告人释放时，强制隔离戒毒期限未满的，继续执行强制隔离戒毒；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topLinePunct w:val="0"/>
        <w:bidi w:val="0"/>
        <w:spacing w:line="620" w:lineRule="exact"/>
        <w:ind w:left="-315" w:leftChars="-150" w:right="-315" w:rightChars="-15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　　（四）刑罚执行完毕，强制隔离戒毒期限未满的，继续执行强制隔离戒毒。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topLinePunct w:val="0"/>
        <w:bidi w:val="0"/>
        <w:spacing w:line="620" w:lineRule="exact"/>
        <w:ind w:left="-315" w:leftChars="-150" w:right="-315" w:rightChars="-15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　　强制隔离戒毒期限自决定之日起计算。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具有下列情形之一的强制隔离戒毒人员，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被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解除强制隔离戒毒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后，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决定机关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应当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责令其接受不超过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年的社区康复：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（一）因阿片类毒品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成瘾的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（二）被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决定强制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隔离戒毒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次以上的；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（三）根据强制隔离戒毒诊断评估结果及其所处社会环境等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种因素综合考量，有必要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责令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社区康复的。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第二十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责令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社区康复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时，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应当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收集以下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证据: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（一）强制隔离戒毒决定书；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（二）解除强制隔离戒毒证明书或者提前解除强制隔离戒毒决定书；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（三）强制隔离戒毒诊断评估结果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（四）有必要责令社区康复的其他材料。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620" w:lineRule="exact"/>
        <w:ind w:left="-315" w:leftChars="-150" w:right="-315" w:rightChars="-15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auto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第二十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六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 xml:space="preserve">  本规定自202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日起施行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，有效期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5年。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315" w:leftChars="-150" w:right="-315" w:rightChars="-15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line="620" w:lineRule="exact"/>
        <w:ind w:left="-315" w:leftChars="-150" w:right="-315" w:rightChars="-150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line="620" w:lineRule="exact"/>
        <w:ind w:left="-315" w:leftChars="-150" w:right="-315" w:rightChars="-150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line="620" w:lineRule="exact"/>
        <w:ind w:left="-315" w:leftChars="-150" w:right="-315" w:rightChars="-150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line="620" w:lineRule="exact"/>
        <w:ind w:left="-315" w:leftChars="-150" w:right="-315" w:rightChars="-150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line="620" w:lineRule="exact"/>
        <w:ind w:left="-315" w:leftChars="-150" w:right="-315" w:rightChars="-150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line="620" w:lineRule="exact"/>
        <w:ind w:left="-315" w:leftChars="-150" w:right="-315" w:rightChars="-150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line="620" w:lineRule="exact"/>
        <w:ind w:left="-315" w:leftChars="-150" w:right="-315" w:rightChars="-150" w:firstLine="0" w:firstLineChars="0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rif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07B"/>
    <w:rsid w:val="001F3B73"/>
    <w:rsid w:val="00231A3B"/>
    <w:rsid w:val="00236689"/>
    <w:rsid w:val="002A49D0"/>
    <w:rsid w:val="004040EF"/>
    <w:rsid w:val="005256F7"/>
    <w:rsid w:val="007F107B"/>
    <w:rsid w:val="008B1C0E"/>
    <w:rsid w:val="009C3C79"/>
    <w:rsid w:val="00A024D4"/>
    <w:rsid w:val="00A26C59"/>
    <w:rsid w:val="00BC7AA9"/>
    <w:rsid w:val="00C010ED"/>
    <w:rsid w:val="00CB6E6D"/>
    <w:rsid w:val="00CD4187"/>
    <w:rsid w:val="00EC5DE7"/>
    <w:rsid w:val="00F362F9"/>
    <w:rsid w:val="00FB5790"/>
    <w:rsid w:val="0232167A"/>
    <w:rsid w:val="024B4394"/>
    <w:rsid w:val="02971350"/>
    <w:rsid w:val="053D0960"/>
    <w:rsid w:val="067D4149"/>
    <w:rsid w:val="07823F28"/>
    <w:rsid w:val="10F0030D"/>
    <w:rsid w:val="12354F80"/>
    <w:rsid w:val="16F53EBC"/>
    <w:rsid w:val="18F60211"/>
    <w:rsid w:val="1B090B85"/>
    <w:rsid w:val="1C6570BF"/>
    <w:rsid w:val="1E62522D"/>
    <w:rsid w:val="1E8A50FE"/>
    <w:rsid w:val="213E4CCF"/>
    <w:rsid w:val="220C4A35"/>
    <w:rsid w:val="235066E1"/>
    <w:rsid w:val="243975B5"/>
    <w:rsid w:val="24B669F0"/>
    <w:rsid w:val="259E1C5C"/>
    <w:rsid w:val="260D5172"/>
    <w:rsid w:val="273C42F1"/>
    <w:rsid w:val="28885F30"/>
    <w:rsid w:val="2956157B"/>
    <w:rsid w:val="29D947F1"/>
    <w:rsid w:val="2F316538"/>
    <w:rsid w:val="2FB60958"/>
    <w:rsid w:val="308B6374"/>
    <w:rsid w:val="3179328A"/>
    <w:rsid w:val="3185773F"/>
    <w:rsid w:val="319E4E39"/>
    <w:rsid w:val="33622334"/>
    <w:rsid w:val="35E36FF3"/>
    <w:rsid w:val="36B066EC"/>
    <w:rsid w:val="36C647CE"/>
    <w:rsid w:val="37261E2B"/>
    <w:rsid w:val="372D7BB7"/>
    <w:rsid w:val="3737E04F"/>
    <w:rsid w:val="38F42047"/>
    <w:rsid w:val="3A170CA0"/>
    <w:rsid w:val="3C71705F"/>
    <w:rsid w:val="3DC753E5"/>
    <w:rsid w:val="3E902B30"/>
    <w:rsid w:val="3EAB41F7"/>
    <w:rsid w:val="40461A27"/>
    <w:rsid w:val="415E1402"/>
    <w:rsid w:val="43634C63"/>
    <w:rsid w:val="44A621DA"/>
    <w:rsid w:val="456621BB"/>
    <w:rsid w:val="464803A3"/>
    <w:rsid w:val="498F05ED"/>
    <w:rsid w:val="4BA756EC"/>
    <w:rsid w:val="4C0644C1"/>
    <w:rsid w:val="4C4045AC"/>
    <w:rsid w:val="4CB62916"/>
    <w:rsid w:val="4E020F3A"/>
    <w:rsid w:val="4E850258"/>
    <w:rsid w:val="508E0D9A"/>
    <w:rsid w:val="520250EC"/>
    <w:rsid w:val="52297D1C"/>
    <w:rsid w:val="52383FF3"/>
    <w:rsid w:val="53F14C4B"/>
    <w:rsid w:val="5464467D"/>
    <w:rsid w:val="5479642F"/>
    <w:rsid w:val="54AD0AB1"/>
    <w:rsid w:val="54DE7CC1"/>
    <w:rsid w:val="56407866"/>
    <w:rsid w:val="592A1340"/>
    <w:rsid w:val="5C265BCF"/>
    <w:rsid w:val="5D113C15"/>
    <w:rsid w:val="5F795234"/>
    <w:rsid w:val="607A7D19"/>
    <w:rsid w:val="60BE3BC7"/>
    <w:rsid w:val="624770E2"/>
    <w:rsid w:val="638368E1"/>
    <w:rsid w:val="6571372E"/>
    <w:rsid w:val="663F5DD6"/>
    <w:rsid w:val="66EA3A00"/>
    <w:rsid w:val="68040080"/>
    <w:rsid w:val="694A76C3"/>
    <w:rsid w:val="6AA852BC"/>
    <w:rsid w:val="6C227E44"/>
    <w:rsid w:val="6C355687"/>
    <w:rsid w:val="6CF8067C"/>
    <w:rsid w:val="6F9F2FEE"/>
    <w:rsid w:val="74490ADA"/>
    <w:rsid w:val="74D86AF8"/>
    <w:rsid w:val="78072DC8"/>
    <w:rsid w:val="78A81153"/>
    <w:rsid w:val="78FF08F5"/>
    <w:rsid w:val="792B5157"/>
    <w:rsid w:val="79783C3E"/>
    <w:rsid w:val="7B537BCD"/>
    <w:rsid w:val="7BE110AA"/>
    <w:rsid w:val="7F572C52"/>
    <w:rsid w:val="7FCE19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qFormat="1" w:uiPriority="0" w:semiHidden="0" w:name="HTML Code"/>
    <w:lsdException w:qFormat="1" w:uiPriority="0" w:semiHidden="0" w:name="HTML Definition"/>
    <w:lsdException w:qFormat="1" w:uiPriority="0" w:semiHidden="0" w:name="HTML Keyboard"/>
    <w:lsdException w:uiPriority="0" w:name="HTML Preformatted"/>
    <w:lsdException w:qFormat="1" w:uiPriority="0" w:semiHidden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0"/>
    <w:pPr>
      <w:ind w:left="420" w:leftChars="200"/>
    </w:pPr>
  </w:style>
  <w:style w:type="paragraph" w:styleId="4">
    <w:name w:val="Plain Text"/>
    <w:basedOn w:val="1"/>
    <w:unhideWhenUsed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unhideWhenUsed/>
    <w:qFormat/>
    <w:uiPriority w:val="0"/>
    <w:rPr>
      <w:color w:val="0066CC"/>
      <w:u w:val="none"/>
    </w:rPr>
  </w:style>
  <w:style w:type="character" w:styleId="11">
    <w:name w:val="HTML Definition"/>
    <w:basedOn w:val="8"/>
    <w:unhideWhenUsed/>
    <w:qFormat/>
    <w:uiPriority w:val="0"/>
    <w:rPr>
      <w:i/>
    </w:rPr>
  </w:style>
  <w:style w:type="character" w:styleId="12">
    <w:name w:val="Hyperlink"/>
    <w:basedOn w:val="8"/>
    <w:unhideWhenUsed/>
    <w:qFormat/>
    <w:uiPriority w:val="0"/>
    <w:rPr>
      <w:color w:val="0066CC"/>
      <w:u w:val="none"/>
    </w:rPr>
  </w:style>
  <w:style w:type="character" w:styleId="13">
    <w:name w:val="HTML Code"/>
    <w:basedOn w:val="8"/>
    <w:unhideWhenUsed/>
    <w:qFormat/>
    <w:uiPriority w:val="0"/>
    <w:rPr>
      <w:rFonts w:ascii="serif" w:hAnsi="serif" w:eastAsia="serif" w:cs="serif"/>
      <w:sz w:val="21"/>
      <w:szCs w:val="21"/>
    </w:rPr>
  </w:style>
  <w:style w:type="character" w:styleId="14">
    <w:name w:val="HTML Keyboard"/>
    <w:basedOn w:val="8"/>
    <w:unhideWhenUsed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5">
    <w:name w:val="HTML Sample"/>
    <w:basedOn w:val="8"/>
    <w:unhideWhenUsed/>
    <w:qFormat/>
    <w:uiPriority w:val="0"/>
    <w:rPr>
      <w:rFonts w:hint="default" w:ascii="serif" w:hAnsi="serif" w:eastAsia="serif" w:cs="serif"/>
      <w:sz w:val="21"/>
      <w:szCs w:val="21"/>
    </w:rPr>
  </w:style>
  <w:style w:type="paragraph" w:customStyle="1" w:styleId="16">
    <w:name w:val="BodyText1I2"/>
    <w:basedOn w:val="17"/>
    <w:qFormat/>
    <w:uiPriority w:val="99"/>
    <w:pPr>
      <w:ind w:firstLine="420" w:firstLineChars="200"/>
    </w:pPr>
  </w:style>
  <w:style w:type="paragraph" w:customStyle="1" w:styleId="17">
    <w:name w:val="BodyTextIndent"/>
    <w:basedOn w:val="1"/>
    <w:qFormat/>
    <w:uiPriority w:val="0"/>
    <w:pPr>
      <w:ind w:firstLine="720" w:firstLineChars="257"/>
    </w:pPr>
    <w:rPr>
      <w:rFonts w:ascii="Calibri" w:hAnsi="Calibri" w:eastAsia="仿宋" w:cs="Times New Roman"/>
      <w:kern w:val="0"/>
      <w:sz w:val="20"/>
    </w:rPr>
  </w:style>
  <w:style w:type="character" w:customStyle="1" w:styleId="18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20">
    <w:name w:val="level-major"/>
    <w:basedOn w:val="8"/>
    <w:qFormat/>
    <w:uiPriority w:val="0"/>
  </w:style>
  <w:style w:type="character" w:customStyle="1" w:styleId="21">
    <w:name w:val="root"/>
    <w:basedOn w:val="8"/>
    <w:qFormat/>
    <w:uiPriority w:val="0"/>
  </w:style>
  <w:style w:type="character" w:customStyle="1" w:styleId="22">
    <w:name w:val="level-noral"/>
    <w:basedOn w:val="8"/>
    <w:qFormat/>
    <w:uiPriority w:val="0"/>
  </w:style>
  <w:style w:type="character" w:customStyle="1" w:styleId="23">
    <w:name w:val="remark-title"/>
    <w:basedOn w:val="8"/>
    <w:qFormat/>
    <w:uiPriority w:val="0"/>
  </w:style>
  <w:style w:type="character" w:customStyle="1" w:styleId="24">
    <w:name w:val="remark-title1"/>
    <w:basedOn w:val="8"/>
    <w:qFormat/>
    <w:uiPriority w:val="0"/>
    <w:rPr>
      <w:color w:val="58C697"/>
    </w:rPr>
  </w:style>
  <w:style w:type="character" w:customStyle="1" w:styleId="25">
    <w:name w:val="cke_colorbox"/>
    <w:basedOn w:val="8"/>
    <w:qFormat/>
    <w:uiPriority w:val="0"/>
    <w:rPr>
      <w:bdr w:val="single" w:color="808080" w:sz="6" w:space="0"/>
    </w:rPr>
  </w:style>
  <w:style w:type="character" w:customStyle="1" w:styleId="26">
    <w:name w:val="cke_colorbox1"/>
    <w:basedOn w:val="8"/>
    <w:qFormat/>
    <w:uiPriority w:val="0"/>
  </w:style>
  <w:style w:type="character" w:customStyle="1" w:styleId="27">
    <w:name w:val="category-text"/>
    <w:basedOn w:val="8"/>
    <w:qFormat/>
    <w:uiPriority w:val="0"/>
    <w:rPr>
      <w:b/>
      <w:shd w:val="clear" w:fill="FFFFFF"/>
    </w:rPr>
  </w:style>
  <w:style w:type="character" w:customStyle="1" w:styleId="28">
    <w:name w:val="attchment-public"/>
    <w:basedOn w:val="8"/>
    <w:qFormat/>
    <w:uiPriority w:val="0"/>
  </w:style>
  <w:style w:type="character" w:customStyle="1" w:styleId="29">
    <w:name w:val="attchment-public1"/>
    <w:basedOn w:val="8"/>
    <w:qFormat/>
    <w:uiPriority w:val="0"/>
    <w:rPr>
      <w:color w:val="FFA55A"/>
    </w:rPr>
  </w:style>
  <w:style w:type="character" w:customStyle="1" w:styleId="30">
    <w:name w:val="sort-name-span"/>
    <w:basedOn w:val="8"/>
    <w:qFormat/>
    <w:uiPriority w:val="0"/>
  </w:style>
  <w:style w:type="character" w:customStyle="1" w:styleId="31">
    <w:name w:val="flow-name-span"/>
    <w:basedOn w:val="8"/>
    <w:qFormat/>
    <w:uiPriority w:val="0"/>
  </w:style>
  <w:style w:type="character" w:customStyle="1" w:styleId="32">
    <w:name w:val="op-icon"/>
    <w:basedOn w:val="8"/>
    <w:qFormat/>
    <w:uiPriority w:val="0"/>
    <w:rPr>
      <w:bdr w:val="single" w:color="FF0000" w:sz="6" w:space="0"/>
    </w:rPr>
  </w:style>
  <w:style w:type="character" w:customStyle="1" w:styleId="33">
    <w:name w:val="leaf"/>
    <w:basedOn w:val="8"/>
    <w:qFormat/>
    <w:uiPriority w:val="0"/>
  </w:style>
  <w:style w:type="character" w:customStyle="1" w:styleId="34">
    <w:name w:val="level-urgent"/>
    <w:basedOn w:val="8"/>
    <w:qFormat/>
    <w:uiPriority w:val="0"/>
  </w:style>
  <w:style w:type="paragraph" w:customStyle="1" w:styleId="35">
    <w:name w:val="_Style 3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6">
    <w:name w:val="_Style 3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7">
    <w:name w:val="正文（缩进）"/>
    <w:basedOn w:val="1"/>
    <w:qFormat/>
    <w:uiPriority w:val="99"/>
    <w:pPr>
      <w:widowControl/>
      <w:spacing w:before="156" w:after="156"/>
    </w:pPr>
    <w:rPr>
      <w:rFonts w:ascii="Calibri" w:hAnsi="Calibri" w:eastAsia="宋体" w:cs="仿宋"/>
      <w:kern w:val="21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158</Words>
  <Characters>907</Characters>
  <Lines>7</Lines>
  <Paragraphs>2</Paragraphs>
  <TotalTime>13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2017-10-24T18:26:00Z</dcterms:created>
  <dc:creator>杨伦</dc:creator>
  <cp:lastModifiedBy>greatwall</cp:lastModifiedBy>
  <cp:lastPrinted>2023-03-01T22:51:00Z</cp:lastPrinted>
  <dcterms:modified xsi:type="dcterms:W3CDTF">2023-03-15T08:10:33Z</dcterms:modified>
  <dc:title>湖南省公安厅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