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8C021">
      <w:pPr>
        <w:spacing w:line="578" w:lineRule="exact"/>
        <w:jc w:val="left"/>
        <w:rPr>
          <w:rFonts w:ascii="Times New Roman" w:hAnsi="Times New Roman" w:eastAsia="方正小标宋_GBK"/>
          <w:bCs/>
          <w:color w:val="000000"/>
          <w:spacing w:val="-7"/>
          <w:w w:val="65"/>
          <w:sz w:val="96"/>
          <w:szCs w:val="96"/>
        </w:rPr>
      </w:pPr>
      <w:bookmarkStart w:id="3" w:name="_GoBack"/>
      <w:bookmarkEnd w:id="3"/>
      <w:r>
        <w:rPr>
          <w:rFonts w:ascii="Times New Roman" w:hAnsi="Times New Roman" w:eastAsia="方正小标宋_GBK" w:cs="Times New Roman"/>
          <w:bCs/>
          <w:color w:val="000000"/>
          <w:sz w:val="32"/>
          <w:szCs w:val="32"/>
        </w:rPr>
        <w:t>HNPR-2026-02014</w:t>
      </w:r>
    </w:p>
    <w:p w14:paraId="6FFD1FBB">
      <w:pPr>
        <w:spacing w:line="578" w:lineRule="exact"/>
        <w:jc w:val="center"/>
        <w:rPr>
          <w:rFonts w:ascii="Times New Roman" w:hAnsi="Times New Roman" w:eastAsia="方正小标宋_GBK"/>
          <w:bCs/>
          <w:color w:val="000000"/>
          <w:spacing w:val="-7"/>
          <w:w w:val="65"/>
          <w:sz w:val="96"/>
          <w:szCs w:val="96"/>
        </w:rPr>
      </w:pPr>
    </w:p>
    <w:p w14:paraId="0BC99065">
      <w:pPr>
        <w:spacing w:line="578" w:lineRule="exact"/>
        <w:rPr>
          <w:rFonts w:ascii="Times New Roman" w:hAnsi="Times New Roman" w:eastAsia="方正小标宋_GBK"/>
          <w:bCs/>
          <w:color w:val="FF0000"/>
          <w:spacing w:val="-7"/>
          <w:w w:val="65"/>
          <w:sz w:val="96"/>
          <w:szCs w:val="96"/>
        </w:rPr>
      </w:pPr>
    </w:p>
    <w:p w14:paraId="5964A560">
      <w:pPr>
        <w:spacing w:line="578" w:lineRule="exact"/>
        <w:jc w:val="center"/>
        <w:rPr>
          <w:rFonts w:ascii="Times New Roman" w:hAnsi="Times New Roman" w:eastAsia="方正小标宋_GBK"/>
          <w:bCs/>
          <w:color w:val="FF0000"/>
          <w:spacing w:val="-7"/>
          <w:w w:val="65"/>
          <w:sz w:val="96"/>
          <w:szCs w:val="96"/>
        </w:rPr>
      </w:pPr>
    </w:p>
    <w:p w14:paraId="23995624">
      <w:pPr>
        <w:spacing w:line="1200" w:lineRule="exact"/>
        <w:jc w:val="center"/>
        <w:rPr>
          <w:rFonts w:ascii="Times New Roman" w:hAnsi="Times New Roman" w:eastAsia="方正小标宋_GBK"/>
          <w:bCs/>
          <w:color w:val="FF0000"/>
          <w:spacing w:val="-7"/>
          <w:w w:val="65"/>
          <w:sz w:val="102"/>
          <w:szCs w:val="102"/>
        </w:rPr>
      </w:pPr>
    </w:p>
    <w:p w14:paraId="5C2DF15E">
      <w:pPr>
        <w:spacing w:line="940" w:lineRule="exact"/>
        <w:rPr>
          <w:rFonts w:ascii="Times New Roman" w:hAnsi="Times New Roman" w:eastAsia="仿宋"/>
          <w:bCs/>
          <w:sz w:val="32"/>
        </w:rPr>
      </w:pPr>
    </w:p>
    <w:p w14:paraId="6B6285FA">
      <w:pPr>
        <w:spacing w:line="590" w:lineRule="exact"/>
        <w:ind w:left="210" w:leftChars="100" w:right="210" w:rightChars="100"/>
        <w:jc w:val="center"/>
        <w:rPr>
          <w:rFonts w:ascii="Times New Roman" w:hAnsi="Times New Roman" w:eastAsia="仿宋_GB2312"/>
          <w:bCs/>
          <w:sz w:val="32"/>
          <w:szCs w:val="32"/>
        </w:rPr>
      </w:pPr>
      <w:bookmarkStart w:id="0" w:name="FlFwzh"/>
      <w:r>
        <w:rPr>
          <w:rFonts w:ascii="Times New Roman" w:hAnsi="Times New Roman" w:eastAsia="仿宋_GB2312"/>
          <w:bCs/>
          <w:sz w:val="32"/>
          <w:szCs w:val="32"/>
        </w:rPr>
        <w:t>湘发改</w:t>
      </w:r>
      <w:r>
        <w:rPr>
          <w:rFonts w:hint="eastAsia" w:ascii="Times New Roman" w:hAnsi="Times New Roman" w:eastAsia="仿宋_GB2312"/>
          <w:bCs/>
          <w:sz w:val="32"/>
          <w:szCs w:val="32"/>
        </w:rPr>
        <w:t>能源规</w:t>
      </w:r>
      <w:r>
        <w:rPr>
          <w:rFonts w:ascii="Times New Roman" w:hAnsi="Times New Roman" w:eastAsia="仿宋_GB2312"/>
          <w:bCs/>
          <w:sz w:val="32"/>
          <w:szCs w:val="32"/>
        </w:rPr>
        <w:t>〔202</w:t>
      </w:r>
      <w:r>
        <w:rPr>
          <w:rFonts w:ascii="Times New Roman" w:hAnsi="Times New Roman" w:eastAsia="仿宋_GB2312"/>
          <w:bCs/>
          <w:sz w:val="32"/>
          <w:szCs w:val="32"/>
          <w:lang w:val="en"/>
        </w:rPr>
        <w:t>6</w:t>
      </w:r>
      <w:r>
        <w:rPr>
          <w:rFonts w:ascii="Times New Roman" w:hAnsi="Times New Roman" w:eastAsia="仿宋_GB2312"/>
          <w:bCs/>
          <w:sz w:val="32"/>
          <w:szCs w:val="32"/>
        </w:rPr>
        <w:t>〕</w:t>
      </w:r>
      <w:r>
        <w:rPr>
          <w:rFonts w:hint="eastAsia" w:ascii="Times New Roman" w:hAnsi="Times New Roman" w:eastAsia="仿宋_GB2312"/>
          <w:bCs/>
          <w:sz w:val="32"/>
          <w:szCs w:val="32"/>
        </w:rPr>
        <w:t>378</w:t>
      </w:r>
      <w:r>
        <w:rPr>
          <w:rFonts w:ascii="Times New Roman" w:hAnsi="Times New Roman" w:eastAsia="仿宋_GB2312"/>
          <w:bCs/>
          <w:sz w:val="32"/>
          <w:szCs w:val="32"/>
        </w:rPr>
        <w:t>号</w:t>
      </w:r>
      <w:bookmarkEnd w:id="0"/>
      <w:bookmarkStart w:id="1" w:name="FlSigner"/>
      <w:bookmarkEnd w:id="1"/>
    </w:p>
    <w:p w14:paraId="3DC2D547">
      <w:pPr>
        <w:spacing w:line="590" w:lineRule="exact"/>
        <w:jc w:val="center"/>
        <w:rPr>
          <w:rFonts w:ascii="Times New Roman" w:hAnsi="Times New Roman" w:eastAsia="仿宋"/>
          <w:bCs/>
          <w:sz w:val="32"/>
          <w:szCs w:val="32"/>
        </w:rPr>
      </w:pPr>
    </w:p>
    <w:p w14:paraId="6C289D73">
      <w:pPr>
        <w:spacing w:line="590" w:lineRule="exact"/>
        <w:jc w:val="center"/>
        <w:rPr>
          <w:rFonts w:ascii="Times New Roman" w:hAnsi="Times New Roman" w:eastAsia="方正小标宋简体"/>
          <w:bCs/>
          <w:sz w:val="42"/>
          <w:szCs w:val="42"/>
        </w:rPr>
      </w:pPr>
    </w:p>
    <w:p w14:paraId="6E90E1DF">
      <w:pPr>
        <w:spacing w:line="596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湖南省发展和改革委员会</w:t>
      </w:r>
    </w:p>
    <w:p w14:paraId="06E637AC">
      <w:pPr>
        <w:spacing w:line="596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关于明确充换电基础设施新建或改扩建</w:t>
      </w:r>
    </w:p>
    <w:p w14:paraId="4AF3A29C">
      <w:pPr>
        <w:spacing w:line="596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投资项目备案管理有关事项的通知</w:t>
      </w:r>
    </w:p>
    <w:p w14:paraId="156BB6B0">
      <w:pPr>
        <w:spacing w:line="596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1A5D5BCF">
      <w:pPr>
        <w:spacing w:line="596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各市州发展改革委，各有关企业：</w:t>
      </w:r>
    </w:p>
    <w:p w14:paraId="2D8812A1">
      <w:pPr>
        <w:spacing w:line="596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为贯彻落实省委、省政府关于开展“企业服务年”行动的决策部署，持续优化营商环境，鼓励和引导民营企业加大新能源汽车充换电基础设施投入力度，不断提升充电服务能力，助力新能源汽车产业高质量发展，经省人民政府同意，现就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充换电基础设施新建或改扩建投资项目</w:t>
      </w:r>
      <w:r>
        <w:rPr>
          <w:rFonts w:hint="eastAsia" w:ascii="仿宋_GB2312" w:hAnsi="仿宋_GB2312" w:eastAsia="仿宋_GB2312" w:cs="仿宋_GB2312"/>
          <w:sz w:val="32"/>
        </w:rPr>
        <w:t>备案管理有关事项通知如下：</w:t>
      </w:r>
    </w:p>
    <w:p w14:paraId="47E67D16">
      <w:pPr>
        <w:spacing w:line="596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</w:rPr>
        <w:t>1、</w:t>
      </w:r>
      <w:r>
        <w:rPr>
          <w:rFonts w:hint="eastAsia" w:ascii="Times New Roman" w:hAnsi="Times New Roman" w:eastAsia="仿宋_GB2312" w:cs="Times New Roman"/>
          <w:sz w:val="32"/>
        </w:rPr>
        <w:t>聚焦企业减负，优化充换电设施项目备案服务，实行项目打捆申报，对民营企业在省内投资额</w:t>
      </w:r>
      <w:r>
        <w:rPr>
          <w:rFonts w:ascii="Times New Roman" w:hAnsi="Times New Roman" w:eastAsia="仿宋_GB2312" w:cs="Times New Roman"/>
          <w:sz w:val="32"/>
        </w:rPr>
        <w:t>5000万元</w:t>
      </w:r>
      <w:r>
        <w:rPr>
          <w:rFonts w:hint="eastAsia" w:ascii="仿宋_GB2312" w:hAnsi="仿宋_GB2312" w:eastAsia="仿宋_GB2312" w:cs="仿宋_GB2312"/>
          <w:sz w:val="32"/>
        </w:rPr>
        <w:t>以上的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充换电基础设施新建或改扩建投资项目，由省发展改革委负责备案。</w:t>
      </w:r>
    </w:p>
    <w:p w14:paraId="777CBFA3">
      <w:pPr>
        <w:spacing w:line="596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ascii="Times New Roman" w:hAnsi="Times New Roman" w:eastAsia="仿宋_GB2312" w:cs="Times New Roman"/>
          <w:sz w:val="32"/>
        </w:rPr>
        <w:t>2</w:t>
      </w:r>
      <w:r>
        <w:rPr>
          <w:rFonts w:hint="eastAsia" w:ascii="仿宋_GB2312" w:hAnsi="仿宋_GB2312" w:eastAsia="仿宋_GB2312" w:cs="仿宋_GB2312"/>
          <w:sz w:val="32"/>
        </w:rPr>
        <w:t>、健全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项目备案与涉路施工许可</w:t>
      </w:r>
      <w:r>
        <w:rPr>
          <w:rFonts w:hint="eastAsia" w:ascii="仿宋_GB2312" w:hAnsi="仿宋_GB2312" w:eastAsia="仿宋_GB2312" w:cs="仿宋_GB2312"/>
          <w:sz w:val="32"/>
        </w:rPr>
        <w:t>协同管理，强化充换电设施建设运营全流程监管，对</w:t>
      </w:r>
      <w:r>
        <w:fldChar w:fldCharType="begin"/>
      </w:r>
      <w:r>
        <w:instrText xml:space="preserve"> HYPERLINK "javascript:;" \o "表情" </w:instrText>
      </w:r>
      <w:r>
        <w:fldChar w:fldCharType="separate"/>
      </w:r>
      <w:r>
        <w:fldChar w:fldCharType="end"/>
      </w:r>
      <w:r>
        <w:rPr>
          <w:rFonts w:hint="eastAsia" w:ascii="仿宋_GB2312" w:hAnsi="仿宋_GB2312" w:eastAsia="仿宋_GB2312" w:cs="仿宋_GB2312"/>
          <w:sz w:val="32"/>
        </w:rPr>
        <w:t>省内高速公路服务区充换电基础设施新建或改扩建投资项目，由省发展改革委负责备案。</w:t>
      </w:r>
    </w:p>
    <w:p w14:paraId="5A5B7066">
      <w:pPr>
        <w:spacing w:line="596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本通知自发布之日起实施，有效期三年。此前有关规定与本通知不一致的，以本通知为准。</w:t>
      </w:r>
    </w:p>
    <w:p w14:paraId="733F6E60">
      <w:pPr>
        <w:pStyle w:val="8"/>
        <w:spacing w:after="0" w:line="596" w:lineRule="exac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22AA1F71">
      <w:pPr>
        <w:pStyle w:val="2"/>
        <w:spacing w:line="596" w:lineRule="exact"/>
        <w:ind w:firstLine="640"/>
        <w:rPr>
          <w:rFonts w:ascii="仿宋_GB2312" w:hAnsi="仿宋_GB2312" w:eastAsia="仿宋_GB2312" w:cs="仿宋_GB2312"/>
          <w:color w:val="000000"/>
          <w:sz w:val="32"/>
        </w:rPr>
      </w:pPr>
    </w:p>
    <w:p w14:paraId="11776AD9">
      <w:pPr>
        <w:spacing w:line="596" w:lineRule="exact"/>
      </w:pPr>
    </w:p>
    <w:p w14:paraId="38B68FE0">
      <w:pPr>
        <w:wordWrap w:val="0"/>
        <w:spacing w:line="596" w:lineRule="exact"/>
        <w:jc w:val="righ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湖南省发展和改革委员会    </w:t>
      </w:r>
    </w:p>
    <w:p w14:paraId="5519D955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 2026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ascii="Times New Roman" w:hAnsi="Times New Roman" w:eastAsia="仿宋_GB2312" w:cs="Times New Roman"/>
          <w:bCs/>
          <w:sz w:val="32"/>
          <w:szCs w:val="32"/>
          <w:lang w:val="e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 w14:paraId="1A354963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12E8819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63BB328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2E02ACC8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7F71ABA3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055CDE4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0FAE60F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C96CBE7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A29E0A6">
      <w:pPr>
        <w:spacing w:line="596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42DE8BF4">
      <w:pPr>
        <w:spacing w:line="590" w:lineRule="exact"/>
        <w:ind w:firstLine="640" w:firstLineChars="200"/>
        <w:jc w:val="left"/>
        <w:rPr>
          <w:rFonts w:ascii="Times New Roman" w:hAnsi="Times New Roman" w:eastAsia="仿宋"/>
          <w:bCs/>
          <w:sz w:val="32"/>
          <w:szCs w:val="32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 w14:paraId="291DDF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4" w:type="dxa"/>
            <w:tcBorders>
              <w:top w:val="single" w:color="auto" w:sz="4" w:space="0"/>
              <w:bottom w:val="single" w:color="auto" w:sz="4" w:space="0"/>
            </w:tcBorders>
          </w:tcPr>
          <w:p w14:paraId="0C6BC2E7">
            <w:pPr>
              <w:spacing w:line="590" w:lineRule="exact"/>
              <w:ind w:left="105" w:leftChars="50"/>
              <w:jc w:val="left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 xml:space="preserve">湖南省发展和改革委员会办公室          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  <w:lang w:val="en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 xml:space="preserve">  </w:t>
            </w:r>
            <w:bookmarkStart w:id="2" w:name="FlYear2"/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202</w:t>
            </w:r>
            <w:bookmarkEnd w:id="2"/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  <w:lang w:val="en"/>
              </w:rPr>
              <w:t>7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  <w:lang w:val="en"/>
              </w:rPr>
              <w:t>1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日印发</w:t>
            </w:r>
          </w:p>
        </w:tc>
      </w:tr>
    </w:tbl>
    <w:p w14:paraId="58D3AF66">
      <w:pPr>
        <w:spacing w:line="20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pgSz w:w="11906" w:h="16838"/>
      <w:pgMar w:top="1871" w:right="1531" w:bottom="153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A2E8457-0882-4414-906C-E148365574E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36AFA9D-741E-490B-968E-9F45300D1B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AC26689-5323-46E9-BC22-AD2F508AC8A9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47366"/>
    <w:rsid w:val="006278BF"/>
    <w:rsid w:val="009546D2"/>
    <w:rsid w:val="00A0392D"/>
    <w:rsid w:val="00C82012"/>
    <w:rsid w:val="00DE68F4"/>
    <w:rsid w:val="00FF4059"/>
    <w:rsid w:val="02497534"/>
    <w:rsid w:val="0565533E"/>
    <w:rsid w:val="09847366"/>
    <w:rsid w:val="0CE95936"/>
    <w:rsid w:val="1514752E"/>
    <w:rsid w:val="15F1216D"/>
    <w:rsid w:val="17D2E16D"/>
    <w:rsid w:val="180E4641"/>
    <w:rsid w:val="20BF0C96"/>
    <w:rsid w:val="210849E8"/>
    <w:rsid w:val="24390D5F"/>
    <w:rsid w:val="25635291"/>
    <w:rsid w:val="26BD40AA"/>
    <w:rsid w:val="2ACF35D9"/>
    <w:rsid w:val="2B5E554F"/>
    <w:rsid w:val="2E1D349F"/>
    <w:rsid w:val="2F6F0AAC"/>
    <w:rsid w:val="303B5FD1"/>
    <w:rsid w:val="307F3F9D"/>
    <w:rsid w:val="32DF6F75"/>
    <w:rsid w:val="364517E5"/>
    <w:rsid w:val="3D27751D"/>
    <w:rsid w:val="51F42604"/>
    <w:rsid w:val="53986FA1"/>
    <w:rsid w:val="555808CF"/>
    <w:rsid w:val="5B172EA1"/>
    <w:rsid w:val="5C2D531E"/>
    <w:rsid w:val="5D975CCF"/>
    <w:rsid w:val="5DFF63A1"/>
    <w:rsid w:val="5F5F9F40"/>
    <w:rsid w:val="68F42033"/>
    <w:rsid w:val="6AA41F55"/>
    <w:rsid w:val="6E1374F8"/>
    <w:rsid w:val="6F2319BD"/>
    <w:rsid w:val="6FDD7DBD"/>
    <w:rsid w:val="70D2369A"/>
    <w:rsid w:val="71977C3D"/>
    <w:rsid w:val="72C619A7"/>
    <w:rsid w:val="73841C87"/>
    <w:rsid w:val="742A559B"/>
    <w:rsid w:val="767BBBF5"/>
    <w:rsid w:val="7BFFE498"/>
    <w:rsid w:val="A5EB86F4"/>
    <w:rsid w:val="AFAADB91"/>
    <w:rsid w:val="BBEB18D7"/>
    <w:rsid w:val="EFBE5163"/>
    <w:rsid w:val="FAF4447F"/>
    <w:rsid w:val="FDED7FB2"/>
    <w:rsid w:val="FEED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  <w:rPr>
      <w:szCs w:val="32"/>
    </w:rPr>
  </w:style>
  <w:style w:type="paragraph" w:styleId="3">
    <w:name w:val="annotation text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Body Text Indent"/>
    <w:basedOn w:val="1"/>
    <w:next w:val="5"/>
    <w:unhideWhenUsed/>
    <w:qFormat/>
    <w:uiPriority w:val="0"/>
    <w:pPr>
      <w:spacing w:after="120"/>
      <w:ind w:left="420" w:leftChars="200"/>
    </w:pPr>
  </w:style>
  <w:style w:type="paragraph" w:styleId="5">
    <w:name w:val="annotation subject"/>
    <w:basedOn w:val="3"/>
    <w:next w:val="1"/>
    <w:qFormat/>
    <w:uiPriority w:val="0"/>
    <w:rPr>
      <w:b/>
      <w:bCs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next w:val="2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439</Words>
  <Characters>468</Characters>
  <Lines>4</Lines>
  <Paragraphs>1</Paragraphs>
  <TotalTime>1</TotalTime>
  <ScaleCrop>false</ScaleCrop>
  <LinksUpToDate>false</LinksUpToDate>
  <CharactersWithSpaces>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2026-07-02T00:45:00Z</dcterms:created>
  <dc:creator>´•༝• `</dc:creator>
  <cp:lastModifiedBy>柳丁</cp:lastModifiedBy>
  <cp:lastPrinted>2026-06-25T18:01:00Z</cp:lastPrinted>
  <dcterms:modified xsi:type="dcterms:W3CDTF">2026-08-06T09:04:59Z</dcterms:modified>
  <dc:title>湖南省发展和改革委员会文件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830EFD05A36F4900A8F404BE12DB7F39_13</vt:lpwstr>
  </property>
  <property fmtid="{D5CDD505-2E9C-101B-9397-08002B2CF9AE}" pid="4" name="KSOTemplateDocerSaveRecord">
    <vt:lpwstr>eyJoZGlkIjoiNDUwM2ZiZDE4ZTY1NGZjMmExNjNkMzk0YTkzMGU4ZmUiLCJ1c2VySWQiOiIyNzQwNTM2MjMifQ==</vt:lpwstr>
  </property>
</Properties>
</file>