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jc w:val="left"/>
        <w:rPr>
          <w:rFonts w:hint="eastAsia" w:ascii="Times New Roman" w:hAnsi="Times New Roman" w:eastAsia="方正小标宋_GBK" w:cs="Times New Roman"/>
          <w:color w:val="000000"/>
          <w:w w:val="100"/>
          <w:sz w:val="32"/>
          <w:szCs w:val="32"/>
        </w:rPr>
      </w:pPr>
      <w:r>
        <w:rPr>
          <w:rFonts w:hint="eastAsia" w:ascii="Times New Roman" w:hAnsi="Times New Roman" w:eastAsia="方正小标宋_GBK" w:cs="Times New Roman"/>
          <w:color w:val="000000"/>
          <w:w w:val="100"/>
          <w:sz w:val="32"/>
          <w:szCs w:val="32"/>
        </w:rPr>
        <w:t>HNPR-20</w:t>
      </w:r>
      <w:r>
        <w:rPr>
          <w:rFonts w:hint="eastAsia" w:ascii="Times New Roman" w:hAnsi="Times New Roman" w:eastAsia="方正小标宋_GBK" w:cs="Times New Roman"/>
          <w:color w:val="000000"/>
          <w:w w:val="100"/>
          <w:sz w:val="32"/>
          <w:szCs w:val="32"/>
          <w:lang w:val="en-US" w:eastAsia="zh-CN"/>
        </w:rPr>
        <w:t>21</w:t>
      </w:r>
      <w:r>
        <w:rPr>
          <w:rFonts w:hint="eastAsia" w:ascii="Times New Roman" w:hAnsi="Times New Roman" w:eastAsia="方正小标宋_GBK" w:cs="Times New Roman"/>
          <w:color w:val="000000"/>
          <w:w w:val="100"/>
          <w:sz w:val="32"/>
          <w:szCs w:val="32"/>
        </w:rPr>
        <w:t>-020</w:t>
      </w:r>
      <w:r>
        <w:rPr>
          <w:rFonts w:hint="eastAsia" w:ascii="Times New Roman" w:hAnsi="Times New Roman" w:eastAsia="方正小标宋_GBK" w:cs="Times New Roman"/>
          <w:color w:val="000000"/>
          <w:w w:val="100"/>
          <w:sz w:val="32"/>
          <w:szCs w:val="32"/>
          <w:lang w:val="en-US" w:eastAsia="zh-CN"/>
        </w:rPr>
        <w:t>10</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color w:val="000000"/>
          <w:spacing w:val="0"/>
          <w:sz w:val="44"/>
          <w:szCs w:val="44"/>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color w:val="000000"/>
          <w:spacing w:val="0"/>
          <w:sz w:val="44"/>
          <w:szCs w:val="44"/>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仿宋_GB2312" w:hAnsi="仿宋_GB2312" w:eastAsia="仿宋_GB2312" w:cs="仿宋_GB2312"/>
          <w:b w:val="0"/>
          <w:bCs/>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仿宋_GB2312" w:hAnsi="仿宋_GB2312" w:eastAsia="仿宋_GB2312" w:cs="仿宋_GB2312"/>
          <w:b w:val="0"/>
          <w:bCs/>
          <w:spacing w:val="0"/>
          <w:sz w:val="32"/>
          <w:szCs w:val="32"/>
        </w:rPr>
      </w:pPr>
      <w:r>
        <w:rPr>
          <w:rFonts w:hint="eastAsia" w:ascii="仿宋_GB2312" w:hAnsi="仿宋_GB2312" w:eastAsia="仿宋_GB2312" w:cs="仿宋_GB2312"/>
          <w:b w:val="0"/>
          <w:bCs/>
          <w:spacing w:val="0"/>
          <w:sz w:val="32"/>
          <w:szCs w:val="32"/>
          <w:shd w:val="clear" w:fill="FFFFFF"/>
        </w:rPr>
        <w:t>湘发改价费规〔2021〕107号</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color w:val="000000"/>
          <w:spacing w:val="0"/>
          <w:sz w:val="44"/>
          <w:szCs w:val="44"/>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spacing w:val="0"/>
          <w:sz w:val="44"/>
          <w:szCs w:val="44"/>
        </w:rPr>
      </w:pPr>
      <w:r>
        <w:rPr>
          <w:rFonts w:hint="eastAsia" w:ascii="方正小标宋简体" w:hAnsi="方正小标宋简体" w:eastAsia="方正小标宋简体" w:cs="方正小标宋简体"/>
          <w:b w:val="0"/>
          <w:bCs/>
          <w:color w:val="000000"/>
          <w:spacing w:val="0"/>
          <w:sz w:val="44"/>
          <w:szCs w:val="44"/>
          <w:shd w:val="clear" w:fill="FFFFFF"/>
        </w:rPr>
        <w:t>湖南省发展和改革委员会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spacing w:val="91"/>
          <w:sz w:val="44"/>
          <w:szCs w:val="44"/>
        </w:rPr>
      </w:pPr>
      <w:r>
        <w:rPr>
          <w:rFonts w:hint="eastAsia" w:ascii="方正小标宋简体" w:hAnsi="方正小标宋简体" w:eastAsia="方正小标宋简体" w:cs="方正小标宋简体"/>
          <w:b w:val="0"/>
          <w:bCs/>
          <w:color w:val="000000"/>
          <w:spacing w:val="85"/>
          <w:sz w:val="44"/>
          <w:szCs w:val="44"/>
          <w:shd w:val="clear" w:fill="FFFFFF"/>
        </w:rPr>
        <w:t>湖南省交通运输厅</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spacing w:val="0"/>
          <w:sz w:val="44"/>
          <w:szCs w:val="44"/>
        </w:rPr>
      </w:pPr>
      <w:r>
        <w:rPr>
          <w:rFonts w:hint="eastAsia" w:ascii="方正小标宋简体" w:hAnsi="方正小标宋简体" w:eastAsia="方正小标宋简体" w:cs="方正小标宋简体"/>
          <w:b w:val="0"/>
          <w:bCs/>
          <w:color w:val="000000"/>
          <w:spacing w:val="0"/>
          <w:sz w:val="44"/>
          <w:szCs w:val="44"/>
          <w:shd w:val="clear" w:fill="FFFFFF"/>
        </w:rPr>
        <w:t>关于进一步完善汽车客运站收费管理的通知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仿宋_GB2312" w:hAnsi="仿宋_GB2312" w:eastAsia="仿宋_GB2312" w:cs="仿宋_GB2312"/>
          <w:b w:val="0"/>
          <w:bCs/>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各市州、县发改委（局）、交通运输局：</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为了贯彻落实《交通运输部 国家发展改革委关于深化道路运输价格改革的意见》（交运规〔2019〕17号）中关于完善汽车客运站收费分类管理的有关规定，进一步规范汽车客运站务收费管理，保护</w:t>
      </w:r>
      <w:r>
        <w:rPr>
          <w:rFonts w:hint="eastAsia" w:ascii="仿宋_GB2312" w:hAnsi="仿宋_GB2312" w:eastAsia="仿宋_GB2312" w:cs="仿宋_GB2312"/>
          <w:color w:val="333333"/>
          <w:spacing w:val="0"/>
          <w:sz w:val="32"/>
          <w:szCs w:val="32"/>
          <w:u w:val="none"/>
          <w:shd w:val="clear" w:fill="FFFFFF"/>
        </w:rPr>
        <w:fldChar w:fldCharType="begin"/>
      </w:r>
      <w:r>
        <w:rPr>
          <w:rFonts w:hint="eastAsia" w:ascii="仿宋_GB2312" w:hAnsi="仿宋_GB2312" w:eastAsia="仿宋_GB2312" w:cs="仿宋_GB2312"/>
          <w:color w:val="333333"/>
          <w:spacing w:val="0"/>
          <w:sz w:val="32"/>
          <w:szCs w:val="32"/>
          <w:u w:val="none"/>
          <w:shd w:val="clear" w:fill="FFFFFF"/>
        </w:rPr>
        <w:instrText xml:space="preserve"> HYPERLINK "https://baike.baidu.com/item/%E6%97%85%E5%AE%A2/7295922" \t "https://baike.baidu.com/item/%E4%B8%8A%E6%B5%B7%E5%B8%82%E7%9C%81%E9%99%85%E6%B1%BD%E8%BD%A6%E5%AE%A2%E8%BF%90%E7%AB%99%E6%94%B6%E8%B4%B9%E5%AE%9E%E6%96%BD%E7%BB%86%E5%88%99/_blank" </w:instrText>
      </w:r>
      <w:r>
        <w:rPr>
          <w:rFonts w:hint="eastAsia" w:ascii="仿宋_GB2312" w:hAnsi="仿宋_GB2312" w:eastAsia="仿宋_GB2312" w:cs="仿宋_GB2312"/>
          <w:color w:val="333333"/>
          <w:spacing w:val="0"/>
          <w:sz w:val="32"/>
          <w:szCs w:val="32"/>
          <w:u w:val="none"/>
          <w:shd w:val="clear" w:fill="FFFFFF"/>
        </w:rPr>
        <w:fldChar w:fldCharType="separate"/>
      </w:r>
      <w:r>
        <w:rPr>
          <w:rStyle w:val="11"/>
          <w:rFonts w:hint="eastAsia" w:ascii="仿宋_GB2312" w:hAnsi="仿宋_GB2312" w:eastAsia="仿宋_GB2312" w:cs="仿宋_GB2312"/>
          <w:color w:val="000000"/>
          <w:spacing w:val="0"/>
          <w:sz w:val="32"/>
          <w:szCs w:val="32"/>
          <w:u w:val="none"/>
          <w:shd w:val="clear" w:fill="FFFFFF"/>
        </w:rPr>
        <w:t>旅客</w:t>
      </w:r>
      <w:r>
        <w:rPr>
          <w:rFonts w:hint="eastAsia" w:ascii="仿宋_GB2312" w:hAnsi="仿宋_GB2312" w:eastAsia="仿宋_GB2312" w:cs="仿宋_GB2312"/>
          <w:color w:val="333333"/>
          <w:spacing w:val="0"/>
          <w:sz w:val="32"/>
          <w:szCs w:val="32"/>
          <w:u w:val="none"/>
          <w:shd w:val="clear" w:fill="FFFFFF"/>
        </w:rPr>
        <w:fldChar w:fldCharType="end"/>
      </w:r>
      <w:r>
        <w:rPr>
          <w:rFonts w:hint="eastAsia" w:ascii="仿宋_GB2312" w:hAnsi="仿宋_GB2312" w:eastAsia="仿宋_GB2312" w:cs="仿宋_GB2312"/>
          <w:color w:val="000000"/>
          <w:spacing w:val="0"/>
          <w:sz w:val="32"/>
          <w:szCs w:val="32"/>
          <w:shd w:val="clear" w:fill="FFFFFF"/>
        </w:rPr>
        <w:t>、承运人和汽车客运站的合法权益，促进道路旅客运输业和道路客运服务机构的可持续发展，经研究，现将有关问题通知如下：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一、汽车客运站收费实行分类管理。车辆站务基本服务中的客运代理费、客运发班费、车辆安全例行检查费、社会车辆机动车停放服务费和旅客基本站务服务收费中的旅客站务费实行政府指导价。除此之外的其他汽车客运站服务收费实行市场调节价。</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一）客运代理费指客运站为承运人代办客源组织、售票、检票、发车、车辆停放、运费结算等客运业务，按客运运费（不含通行费）的一定比例，向承运人计收的代理费。客运代理费按不同站级和服务质量等级分别确定，客运站应按核定的站级和服务质量等级实行挂牌经营和依法收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客运站只为承运人提供统一安排班次、发车车位和候车室，但不代办售票、检票服务，客运站可按客运运费的一定比例收取客车发班费。</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（二）车辆安全例行检查费为客运站按照交通运输部颁布的《汽车客运站安全生产规范》要求，对进入客运站的车辆进行安全检查，向承运人收取的相关费用。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三）旅客站务费指具备站级标准规定的设施、设备的客运站，为旅客提供候车、休息、治安保卫、安全检查、信息等基本客运服务，按每人次在客票内向旅客计收的费用。站务费作为构成票价的一项成本因素，不得在客票外向旅客另行收取。</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（四）社会车辆机动车停放服务收费是指客运站为停放在车站专用停车场的社会车辆有序停放和场地占用提供相关服务时，向社会车辆收取的费用。</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二、汽车客运站政府指导价收费实行分级管理。省级发展改革部门会同交通运输部门指导全省汽车客运站收费管理，并制定客运代理费及客运发班费政府指导价标准，具体标准见附表。市（州）发展改革部门会同交通运输部门对本辖区市（州）政府所在地城区汽车客运站收费进行管理，并制定车辆安全例行检查费、社会车辆机动车停放服务费、旅客站务费政府指导价收费标准。各县（市）对本县（市）辖区内汽车客运站收费进行管理，并制定车辆安全例行检查费、社会车辆机动车停放服务费、旅客站务费政府指导价收费标准。市级与县级、县级之间定价管辖权有争议的，由市级牵头商议确定。</w:t>
      </w:r>
    </w:p>
    <w:p>
      <w:pPr>
        <w:pStyle w:val="4"/>
        <w:keepNext w:val="0"/>
        <w:keepLines w:val="0"/>
        <w:pageBreakBefore w:val="0"/>
        <w:widowControl w:val="0"/>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三、各市（州）、县（市）制定和调整车辆安全例行检查费、旅客站务费收费标准要按相关规定进行成本监审，收费标准方案应通过网络或媒体向社会公示，广泛听取社会意见。</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社会车辆机动车停放服务收费严格按《</w:t>
      </w:r>
      <w:r>
        <w:rPr>
          <w:rFonts w:hint="eastAsia" w:ascii="仿宋_GB2312" w:hAnsi="仿宋_GB2312" w:eastAsia="仿宋_GB2312" w:cs="仿宋_GB2312"/>
          <w:spacing w:val="0"/>
          <w:sz w:val="32"/>
          <w:szCs w:val="32"/>
          <w:shd w:val="clear" w:fill="FFFFFF"/>
        </w:rPr>
        <w:t>湖南省发展和改革委员会关于印发</w:t>
      </w:r>
      <w:r>
        <w:rPr>
          <w:rFonts w:hint="eastAsia" w:ascii="仿宋_GB2312" w:hAnsi="仿宋_GB2312" w:eastAsia="仿宋_GB2312" w:cs="仿宋_GB2312"/>
          <w:color w:val="000000"/>
          <w:spacing w:val="0"/>
          <w:sz w:val="32"/>
          <w:szCs w:val="32"/>
          <w:shd w:val="clear" w:fill="FFFFFF"/>
        </w:rPr>
        <w:t>〈湖南省机动车停放服务收费管理办法〉的通知》（湘发改价费规〔2020〕801号）的有关规定执行。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四、汽车客运站不得突破客运代理费、客运发班费、车辆安全例行检查费、旅客站务费政府指导价，可根据实际情况在政府指导价范围内自主确定具体执行收费标准。</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五、对实行市场调节价的汽车客运站服务项目，由汽车客运站根据公平竞争原则自主确定。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六、汽车客运站提供服务收费时，应按规定实行明码标价，在收费地点或客运站门口醒目位置公示收费项目、收费标准、投诉电话等内容，接受社会和相关部门的监督。</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七、本通知自2021年3月1日起执行，有效期5年。</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附件：汽车客运站客运代理费</w:t>
      </w:r>
      <w:bookmarkStart w:id="0" w:name="_GoBack"/>
      <w:bookmarkEnd w:id="0"/>
      <w:r>
        <w:rPr>
          <w:rFonts w:hint="eastAsia" w:ascii="仿宋_GB2312" w:hAnsi="仿宋_GB2312" w:eastAsia="仿宋_GB2312" w:cs="仿宋_GB2312"/>
          <w:color w:val="000000"/>
          <w:spacing w:val="0"/>
          <w:sz w:val="32"/>
          <w:szCs w:val="32"/>
          <w:shd w:val="clear" w:fill="FFFFFF"/>
        </w:rPr>
        <w:t>最高收费标准表 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shd w:val="clear" w:fill="FFFFFF"/>
        </w:rPr>
        <w:t>湖南省发展和改革委员会    湖南省交通运输厅</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shd w:val="clear" w:fill="FFFFFF"/>
        </w:rPr>
        <w:t>                    2021年2月8日</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黑体" w:hAnsi="黑体" w:eastAsia="黑体" w:cs="黑体"/>
          <w:color w:val="000000"/>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黑体" w:hAnsi="黑体" w:eastAsia="黑体" w:cs="黑体"/>
          <w:spacing w:val="0"/>
          <w:sz w:val="32"/>
          <w:szCs w:val="32"/>
        </w:rPr>
      </w:pPr>
      <w:r>
        <w:rPr>
          <w:rFonts w:hint="eastAsia" w:ascii="黑体" w:hAnsi="黑体" w:eastAsia="黑体" w:cs="黑体"/>
          <w:color w:val="000000"/>
          <w:spacing w:val="0"/>
          <w:sz w:val="32"/>
          <w:szCs w:val="32"/>
          <w:shd w:val="clear" w:fill="FFFFFF"/>
        </w:rPr>
        <w:t>附件</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outlineLvl w:val="9"/>
        <w:rPr>
          <w:rFonts w:hint="eastAsia" w:ascii="仿宋_GB2312" w:hAnsi="仿宋_GB2312" w:eastAsia="仿宋_GB2312" w:cs="仿宋_GB2312"/>
          <w:color w:val="000000"/>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spacing w:val="0"/>
          <w:sz w:val="32"/>
          <w:szCs w:val="32"/>
        </w:rPr>
      </w:pPr>
      <w:r>
        <w:rPr>
          <w:rFonts w:hint="eastAsia" w:ascii="方正小标宋简体" w:hAnsi="方正小标宋简体" w:eastAsia="方正小标宋简体" w:cs="方正小标宋简体"/>
          <w:color w:val="000000"/>
          <w:spacing w:val="0"/>
          <w:sz w:val="32"/>
          <w:szCs w:val="32"/>
          <w:shd w:val="clear" w:fill="FFFFFF"/>
        </w:rPr>
        <w:t>汽车客运站客运代理费最高收费标准表</w:t>
      </w:r>
    </w:p>
    <w:tbl>
      <w:tblPr>
        <w:tblW w:w="8522" w:type="dxa"/>
        <w:jc w:val="center"/>
        <w:tblInd w:w="26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840"/>
        <w:gridCol w:w="2434"/>
        <w:gridCol w:w="32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737" w:hRule="atLeast"/>
          <w:jc w:val="center"/>
        </w:trPr>
        <w:tc>
          <w:tcPr>
            <w:tcW w:w="284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客运站站级和</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服务质量等级</w:t>
            </w:r>
          </w:p>
        </w:tc>
        <w:tc>
          <w:tcPr>
            <w:tcW w:w="2434"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收费标准</w:t>
            </w:r>
          </w:p>
        </w:tc>
        <w:tc>
          <w:tcPr>
            <w:tcW w:w="3248" w:type="dxa"/>
            <w:tcBorders>
              <w:top w:val="single" w:color="auto" w:sz="8" w:space="0"/>
              <w:left w:val="nil"/>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37" w:hRule="atLeast"/>
          <w:jc w:val="center"/>
        </w:trPr>
        <w:tc>
          <w:tcPr>
            <w:tcW w:w="2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一甲</w:t>
            </w:r>
          </w:p>
        </w:tc>
        <w:tc>
          <w:tcPr>
            <w:tcW w:w="2434"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10%</w:t>
            </w:r>
          </w:p>
        </w:tc>
        <w:tc>
          <w:tcPr>
            <w:tcW w:w="3248" w:type="dxa"/>
            <w:vMerge w:val="restart"/>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1、客运代理费和发班费以客运运费（不含通行费）为基础计算。</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2、客运站只为承运人提供统一安排班次、发车车位和候车室，但不代办售票、检票服务所收取的客车发班费，不分站级和服务质量等级一律为5%。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37" w:hRule="atLeast"/>
          <w:jc w:val="center"/>
        </w:trPr>
        <w:tc>
          <w:tcPr>
            <w:tcW w:w="2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一乙</w:t>
            </w:r>
          </w:p>
        </w:tc>
        <w:tc>
          <w:tcPr>
            <w:tcW w:w="2434"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9.5%</w:t>
            </w:r>
          </w:p>
        </w:tc>
        <w:tc>
          <w:tcPr>
            <w:tcW w:w="3248"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textAlignment w:val="auto"/>
              <w:outlineLvl w:val="9"/>
              <w:rPr>
                <w:rFonts w:hint="eastAsia" w:ascii="仿宋_GB2312" w:hAnsi="仿宋_GB2312" w:eastAsia="仿宋_GB2312" w:cs="仿宋_GB2312"/>
                <w:spacing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37" w:hRule="atLeast"/>
          <w:jc w:val="center"/>
        </w:trPr>
        <w:tc>
          <w:tcPr>
            <w:tcW w:w="2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一丙</w:t>
            </w:r>
          </w:p>
        </w:tc>
        <w:tc>
          <w:tcPr>
            <w:tcW w:w="2434"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9%</w:t>
            </w:r>
          </w:p>
        </w:tc>
        <w:tc>
          <w:tcPr>
            <w:tcW w:w="3248"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textAlignment w:val="auto"/>
              <w:outlineLvl w:val="9"/>
              <w:rPr>
                <w:rFonts w:hint="eastAsia" w:ascii="仿宋_GB2312" w:hAnsi="仿宋_GB2312" w:eastAsia="仿宋_GB2312" w:cs="仿宋_GB2312"/>
                <w:spacing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37" w:hRule="atLeast"/>
          <w:jc w:val="center"/>
        </w:trPr>
        <w:tc>
          <w:tcPr>
            <w:tcW w:w="2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二甲</w:t>
            </w:r>
          </w:p>
        </w:tc>
        <w:tc>
          <w:tcPr>
            <w:tcW w:w="2434"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8%</w:t>
            </w:r>
          </w:p>
        </w:tc>
        <w:tc>
          <w:tcPr>
            <w:tcW w:w="3248"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textAlignment w:val="auto"/>
              <w:outlineLvl w:val="9"/>
              <w:rPr>
                <w:rFonts w:hint="eastAsia" w:ascii="仿宋_GB2312" w:hAnsi="仿宋_GB2312" w:eastAsia="仿宋_GB2312" w:cs="仿宋_GB2312"/>
                <w:spacing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37" w:hRule="atLeast"/>
          <w:jc w:val="center"/>
        </w:trPr>
        <w:tc>
          <w:tcPr>
            <w:tcW w:w="2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二乙</w:t>
            </w:r>
          </w:p>
        </w:tc>
        <w:tc>
          <w:tcPr>
            <w:tcW w:w="2434"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7.5%</w:t>
            </w:r>
          </w:p>
        </w:tc>
        <w:tc>
          <w:tcPr>
            <w:tcW w:w="3248"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textAlignment w:val="auto"/>
              <w:outlineLvl w:val="9"/>
              <w:rPr>
                <w:rFonts w:hint="eastAsia" w:ascii="仿宋_GB2312" w:hAnsi="仿宋_GB2312" w:eastAsia="仿宋_GB2312" w:cs="仿宋_GB2312"/>
                <w:spacing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37" w:hRule="atLeast"/>
          <w:jc w:val="center"/>
        </w:trPr>
        <w:tc>
          <w:tcPr>
            <w:tcW w:w="2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二丙</w:t>
            </w:r>
          </w:p>
        </w:tc>
        <w:tc>
          <w:tcPr>
            <w:tcW w:w="2434"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7%</w:t>
            </w:r>
          </w:p>
        </w:tc>
        <w:tc>
          <w:tcPr>
            <w:tcW w:w="3248"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textAlignment w:val="auto"/>
              <w:outlineLvl w:val="9"/>
              <w:rPr>
                <w:rFonts w:hint="eastAsia" w:ascii="仿宋_GB2312" w:hAnsi="仿宋_GB2312" w:eastAsia="仿宋_GB2312" w:cs="仿宋_GB2312"/>
                <w:spacing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37" w:hRule="atLeast"/>
          <w:jc w:val="center"/>
        </w:trPr>
        <w:tc>
          <w:tcPr>
            <w:tcW w:w="2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三甲</w:t>
            </w:r>
          </w:p>
        </w:tc>
        <w:tc>
          <w:tcPr>
            <w:tcW w:w="2434"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6%</w:t>
            </w:r>
          </w:p>
        </w:tc>
        <w:tc>
          <w:tcPr>
            <w:tcW w:w="3248"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textAlignment w:val="auto"/>
              <w:outlineLvl w:val="9"/>
              <w:rPr>
                <w:rFonts w:hint="eastAsia" w:ascii="仿宋_GB2312" w:hAnsi="仿宋_GB2312" w:eastAsia="仿宋_GB2312" w:cs="仿宋_GB2312"/>
                <w:spacing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37" w:hRule="atLeast"/>
          <w:jc w:val="center"/>
        </w:trPr>
        <w:tc>
          <w:tcPr>
            <w:tcW w:w="2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三乙</w:t>
            </w:r>
          </w:p>
        </w:tc>
        <w:tc>
          <w:tcPr>
            <w:tcW w:w="2434"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5.5%</w:t>
            </w:r>
          </w:p>
        </w:tc>
        <w:tc>
          <w:tcPr>
            <w:tcW w:w="3248"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textAlignment w:val="auto"/>
              <w:outlineLvl w:val="9"/>
              <w:rPr>
                <w:rFonts w:hint="eastAsia" w:ascii="仿宋_GB2312" w:hAnsi="仿宋_GB2312" w:eastAsia="仿宋_GB2312" w:cs="仿宋_GB2312"/>
                <w:spacing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737" w:hRule="atLeast"/>
          <w:jc w:val="center"/>
        </w:trPr>
        <w:tc>
          <w:tcPr>
            <w:tcW w:w="2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三丙</w:t>
            </w:r>
          </w:p>
        </w:tc>
        <w:tc>
          <w:tcPr>
            <w:tcW w:w="2434"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5%</w:t>
            </w:r>
          </w:p>
        </w:tc>
        <w:tc>
          <w:tcPr>
            <w:tcW w:w="3248"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textAlignment w:val="auto"/>
              <w:outlineLvl w:val="9"/>
              <w:rPr>
                <w:rFonts w:hint="eastAsia" w:ascii="仿宋_GB2312" w:hAnsi="仿宋_GB2312" w:eastAsia="仿宋_GB2312" w:cs="仿宋_GB2312"/>
                <w:spacing w:val="0"/>
                <w:sz w:val="28"/>
                <w:szCs w:val="2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128" w:hRule="atLeast"/>
          <w:jc w:val="center"/>
        </w:trPr>
        <w:tc>
          <w:tcPr>
            <w:tcW w:w="284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四级站及以下</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（含便捷车站）</w:t>
            </w:r>
          </w:p>
        </w:tc>
        <w:tc>
          <w:tcPr>
            <w:tcW w:w="2434" w:type="dxa"/>
            <w:tcBorders>
              <w:top w:val="nil"/>
              <w:left w:val="nil"/>
              <w:bottom w:val="single" w:color="auto" w:sz="8" w:space="0"/>
              <w:right w:val="single" w:color="auto" w:sz="8" w:space="0"/>
            </w:tcBorders>
            <w:shd w:val="clear"/>
            <w:tcMar>
              <w:left w:w="108" w:type="dxa"/>
              <w:right w:w="108" w:type="dxa"/>
            </w:tcMar>
            <w:vAlign w:val="center"/>
          </w:tcPr>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outlineLvl w:val="9"/>
              <w:rPr>
                <w:rFonts w:hint="eastAsia" w:ascii="仿宋_GB2312" w:hAnsi="仿宋_GB2312" w:eastAsia="仿宋_GB2312" w:cs="仿宋_GB2312"/>
                <w:spacing w:val="0"/>
                <w:sz w:val="28"/>
                <w:szCs w:val="28"/>
              </w:rPr>
            </w:pPr>
            <w:r>
              <w:rPr>
                <w:rFonts w:hint="eastAsia" w:ascii="仿宋_GB2312" w:hAnsi="仿宋_GB2312" w:eastAsia="仿宋_GB2312" w:cs="仿宋_GB2312"/>
                <w:spacing w:val="0"/>
                <w:sz w:val="28"/>
                <w:szCs w:val="28"/>
              </w:rPr>
              <w:t>5%</w:t>
            </w:r>
          </w:p>
        </w:tc>
        <w:tc>
          <w:tcPr>
            <w:tcW w:w="3248" w:type="dxa"/>
            <w:vMerge w:val="continue"/>
            <w:tcBorders>
              <w:top w:val="nil"/>
              <w:left w:val="nil"/>
              <w:bottom w:val="single" w:color="auto" w:sz="8" w:space="0"/>
              <w:right w:val="single" w:color="auto" w:sz="8" w:space="0"/>
            </w:tcBorders>
            <w:shd w:val="clear"/>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textAlignment w:val="auto"/>
              <w:outlineLvl w:val="9"/>
              <w:rPr>
                <w:rFonts w:hint="eastAsia" w:ascii="仿宋_GB2312" w:hAnsi="仿宋_GB2312" w:eastAsia="仿宋_GB2312" w:cs="仿宋_GB2312"/>
                <w:spacing w:val="0"/>
                <w:sz w:val="28"/>
                <w:szCs w:val="28"/>
              </w:rPr>
            </w:pPr>
          </w:p>
        </w:tc>
      </w:tr>
    </w:tbl>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shd w:val="clear" w:fill="FFFFFF"/>
        </w:rPr>
        <w:t>注：客运站站级和服务质量等级由交通运输部门根据现行有关规定核定。</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r>
        <w:rPr>
          <w:rFonts w:hint="eastAsia" w:ascii="仿宋_GB2312" w:hAnsi="仿宋_GB2312" w:eastAsia="仿宋_GB2312" w:cs="仿宋_GB2312"/>
          <w:spacing w:val="0"/>
          <w:sz w:val="32"/>
          <w:szCs w:val="32"/>
          <w:shd w:val="clear" w:fill="FFFFFF"/>
        </w:rPr>
        <w:t> </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spacing w:val="0"/>
          <w:sz w:val="32"/>
          <w:szCs w:val="32"/>
          <w:shd w:val="clear" w:fill="FFFFFF"/>
        </w:rPr>
      </w:pPr>
    </w:p>
    <w:tbl>
      <w:tblPr>
        <w:tblStyle w:val="14"/>
        <w:tblW w:w="87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9" w:type="dxa"/>
            <w:tcBorders>
              <w:top w:val="single" w:color="auto" w:sz="4" w:space="0"/>
              <w:left w:val="nil"/>
              <w:bottom w:val="single" w:color="auto" w:sz="4" w:space="0"/>
              <w:right w:val="nil"/>
            </w:tcBorders>
            <w:vAlign w:val="top"/>
          </w:tcPr>
          <w:p>
            <w:pPr>
              <w:spacing w:line="520" w:lineRule="exact"/>
              <w:ind w:left="-37" w:right="210" w:rightChars="100" w:firstLine="205" w:firstLineChars="75"/>
              <w:rPr>
                <w:rFonts w:hint="default" w:ascii="Times New Roman" w:hAnsi="Times New Roman" w:eastAsia="仿宋_GB2312" w:cs="Times New Roman"/>
                <w:color w:val="000000"/>
                <w:w w:val="98"/>
                <w:kern w:val="0"/>
                <w:sz w:val="28"/>
                <w:szCs w:val="28"/>
              </w:rPr>
            </w:pPr>
            <w:r>
              <w:rPr>
                <w:rFonts w:hint="default" w:ascii="Times New Roman" w:hAnsi="Times New Roman" w:eastAsia="仿宋_GB2312" w:cs="Times New Roman"/>
                <w:color w:val="000000"/>
                <w:w w:val="98"/>
                <w:kern w:val="0"/>
                <w:sz w:val="28"/>
                <w:szCs w:val="28"/>
              </w:rPr>
              <w:t xml:space="preserve">湖南省发展和改革委员会办公室             </w:t>
            </w:r>
            <w:r>
              <w:rPr>
                <w:rFonts w:hint="default" w:ascii="Times New Roman" w:hAnsi="Times New Roman" w:eastAsia="仿宋_GB2312" w:cs="Times New Roman"/>
                <w:color w:val="000000"/>
                <w:w w:val="98"/>
                <w:kern w:val="0"/>
                <w:sz w:val="28"/>
                <w:szCs w:val="28"/>
                <w:lang w:eastAsia="zh-CN"/>
              </w:rPr>
              <w:t>202</w:t>
            </w:r>
            <w:r>
              <w:rPr>
                <w:rFonts w:hint="default" w:ascii="Times New Roman" w:hAnsi="Times New Roman" w:eastAsia="仿宋_GB2312" w:cs="Times New Roman"/>
                <w:color w:val="000000"/>
                <w:w w:val="98"/>
                <w:kern w:val="0"/>
                <w:sz w:val="28"/>
                <w:szCs w:val="28"/>
                <w:lang w:val="en-US" w:eastAsia="zh-CN"/>
              </w:rPr>
              <w:t>1</w:t>
            </w:r>
            <w:r>
              <w:rPr>
                <w:rFonts w:hint="default" w:ascii="Times New Roman" w:hAnsi="Times New Roman" w:eastAsia="仿宋_GB2312" w:cs="Times New Roman"/>
                <w:color w:val="000000"/>
                <w:w w:val="98"/>
                <w:kern w:val="0"/>
                <w:sz w:val="28"/>
                <w:szCs w:val="28"/>
              </w:rPr>
              <w:t>年</w:t>
            </w:r>
            <w:r>
              <w:rPr>
                <w:rFonts w:hint="default" w:ascii="Times New Roman" w:hAnsi="Times New Roman" w:eastAsia="仿宋_GB2312" w:cs="Times New Roman"/>
                <w:color w:val="000000"/>
                <w:w w:val="98"/>
                <w:kern w:val="0"/>
                <w:sz w:val="28"/>
                <w:szCs w:val="28"/>
                <w:lang w:val="en-US" w:eastAsia="zh-CN"/>
              </w:rPr>
              <w:t>3</w:t>
            </w:r>
            <w:r>
              <w:rPr>
                <w:rFonts w:hint="default" w:ascii="Times New Roman" w:hAnsi="Times New Roman" w:eastAsia="仿宋_GB2312" w:cs="Times New Roman"/>
                <w:color w:val="000000"/>
                <w:w w:val="98"/>
                <w:kern w:val="0"/>
                <w:sz w:val="28"/>
                <w:szCs w:val="28"/>
              </w:rPr>
              <w:t>月</w:t>
            </w:r>
            <w:r>
              <w:rPr>
                <w:rFonts w:hint="default" w:ascii="Times New Roman" w:hAnsi="Times New Roman" w:eastAsia="仿宋_GB2312" w:cs="Times New Roman"/>
                <w:color w:val="000000"/>
                <w:w w:val="98"/>
                <w:kern w:val="0"/>
                <w:sz w:val="28"/>
                <w:szCs w:val="28"/>
                <w:lang w:val="en-US" w:eastAsia="zh-CN"/>
              </w:rPr>
              <w:t>1</w:t>
            </w:r>
            <w:r>
              <w:rPr>
                <w:rFonts w:hint="default" w:ascii="Times New Roman" w:hAnsi="Times New Roman" w:eastAsia="仿宋_GB2312" w:cs="Times New Roman"/>
                <w:color w:val="000000"/>
                <w:w w:val="98"/>
                <w:kern w:val="0"/>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ind w:firstLine="640" w:firstLineChars="200"/>
        <w:textAlignment w:val="auto"/>
        <w:outlineLvl w:val="9"/>
        <w:rPr>
          <w:rFonts w:hint="eastAsia" w:ascii="仿宋_GB2312" w:hAnsi="仿宋_GB2312" w:eastAsia="仿宋_GB2312" w:cs="仿宋_GB2312"/>
          <w:spacing w:val="0"/>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Consolas">
    <w:panose1 w:val="020B0609020204030204"/>
    <w:charset w:val="00"/>
    <w:family w:val="auto"/>
    <w:pitch w:val="default"/>
    <w:sig w:usb0="E10002FF" w:usb1="4000FCFF" w:usb2="00000009" w:usb3="00000000" w:csb0="6000019F" w:csb1="DFD70000"/>
  </w:font>
  <w:font w:name="PMingLiU">
    <w:panose1 w:val="02020500000000000000"/>
    <w:charset w:val="88"/>
    <w:family w:val="auto"/>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叶根友毛笔行书2.0版">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F42E2"/>
    <w:rsid w:val="6E8F4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b/>
      <w:kern w:val="0"/>
      <w:sz w:val="24"/>
      <w:szCs w:val="24"/>
      <w:lang w:val="en-US" w:eastAsia="zh-CN" w:bidi="ar"/>
    </w:rPr>
  </w:style>
  <w:style w:type="paragraph" w:styleId="3">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b/>
      <w:kern w:val="0"/>
      <w:sz w:val="24"/>
      <w:szCs w:val="24"/>
      <w:lang w:val="en-US" w:eastAsia="zh-CN" w:bidi="ar"/>
    </w:rPr>
  </w:style>
  <w:style w:type="character" w:default="1" w:styleId="5">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1"/>
      <w:szCs w:val="21"/>
      <w:lang w:val="en-US" w:eastAsia="zh-CN" w:bidi="ar"/>
    </w:rPr>
  </w:style>
  <w:style w:type="character" w:styleId="6">
    <w:name w:val="FollowedHyperlink"/>
    <w:basedOn w:val="5"/>
    <w:uiPriority w:val="0"/>
    <w:rPr>
      <w:color w:val="333333"/>
      <w:u w:val="none"/>
    </w:rPr>
  </w:style>
  <w:style w:type="character" w:styleId="7">
    <w:name w:val="Emphasis"/>
    <w:basedOn w:val="5"/>
    <w:qFormat/>
    <w:uiPriority w:val="0"/>
  </w:style>
  <w:style w:type="character" w:styleId="8">
    <w:name w:val="HTML Definition"/>
    <w:basedOn w:val="5"/>
    <w:uiPriority w:val="0"/>
  </w:style>
  <w:style w:type="character" w:styleId="9">
    <w:name w:val="HTML Acronym"/>
    <w:basedOn w:val="5"/>
    <w:uiPriority w:val="0"/>
    <w:rPr>
      <w:bdr w:val="none" w:color="auto" w:sz="0" w:space="0"/>
    </w:rPr>
  </w:style>
  <w:style w:type="character" w:styleId="10">
    <w:name w:val="HTML Variable"/>
    <w:basedOn w:val="5"/>
    <w:uiPriority w:val="0"/>
  </w:style>
  <w:style w:type="character" w:styleId="11">
    <w:name w:val="Hyperlink"/>
    <w:basedOn w:val="5"/>
    <w:uiPriority w:val="0"/>
    <w:rPr>
      <w:color w:val="333333"/>
      <w:u w:val="none"/>
    </w:rPr>
  </w:style>
  <w:style w:type="character" w:styleId="12">
    <w:name w:val="HTML Code"/>
    <w:basedOn w:val="5"/>
    <w:uiPriority w:val="0"/>
    <w:rPr>
      <w:rFonts w:hint="eastAsia" w:ascii="微软雅黑" w:hAnsi="微软雅黑" w:eastAsia="微软雅黑" w:cs="微软雅黑"/>
      <w:sz w:val="21"/>
      <w:szCs w:val="21"/>
      <w:bdr w:val="none" w:color="auto" w:sz="0" w:space="0"/>
    </w:rPr>
  </w:style>
  <w:style w:type="character" w:styleId="13">
    <w:name w:val="HTML Cite"/>
    <w:basedOn w:val="5"/>
    <w:uiPriority w:val="0"/>
  </w:style>
  <w:style w:type="character" w:customStyle="1" w:styleId="15">
    <w:name w:val="dropselect_box"/>
    <w:basedOn w:val="5"/>
    <w:uiPriority w:val="0"/>
  </w:style>
  <w:style w:type="character" w:customStyle="1" w:styleId="16">
    <w:name w:val="ul_li_a_1"/>
    <w:basedOn w:val="5"/>
    <w:uiPriority w:val="0"/>
    <w:rPr>
      <w:b/>
      <w:color w:val="FFFFFF"/>
    </w:rPr>
  </w:style>
  <w:style w:type="character" w:customStyle="1" w:styleId="17">
    <w:name w:val="a_p_2"/>
    <w:basedOn w:val="5"/>
    <w:uiPriority w:val="0"/>
  </w:style>
  <w:style w:type="character" w:customStyle="1" w:styleId="18">
    <w:name w:val="a_p_21"/>
    <w:basedOn w:val="5"/>
    <w:uiPriority w:val="0"/>
    <w:rPr>
      <w:sz w:val="27"/>
      <w:szCs w:val="27"/>
    </w:rPr>
  </w:style>
  <w:style w:type="character" w:customStyle="1" w:styleId="19">
    <w:name w:val="exap"/>
    <w:basedOn w:val="5"/>
    <w:uiPriority w:val="0"/>
    <w:rPr>
      <w:sz w:val="27"/>
      <w:szCs w:val="27"/>
    </w:rPr>
  </w:style>
  <w:style w:type="paragraph" w:customStyle="1" w:styleId="20">
    <w:name w:val="textshow"/>
    <w:basedOn w:val="1"/>
    <w:uiPriority w:val="0"/>
    <w:pPr>
      <w:jc w:val="left"/>
    </w:pPr>
    <w:rPr>
      <w:color w:val="FFFFFF"/>
      <w:kern w:val="0"/>
      <w:lang w:val="en-US" w:eastAsia="zh-CN" w:bidi="ar"/>
    </w:rPr>
  </w:style>
  <w:style w:type="character" w:customStyle="1" w:styleId="21">
    <w:name w:val="a_p_3"/>
    <w:basedOn w:val="5"/>
    <w:uiPriority w:val="0"/>
    <w:rPr>
      <w:sz w:val="27"/>
      <w:szCs w:val="27"/>
    </w:rPr>
  </w:style>
  <w:style w:type="character" w:customStyle="1" w:styleId="22">
    <w:name w:val="a_p_1"/>
    <w:basedOn w:val="5"/>
    <w:uiPriority w:val="0"/>
    <w:rPr>
      <w:sz w:val="27"/>
      <w:szCs w:val="27"/>
    </w:rPr>
  </w:style>
  <w:style w:type="paragraph" w:styleId="23">
    <w:name w:val=""/>
    <w:basedOn w:val="1"/>
    <w:next w:val="1"/>
    <w:uiPriority w:val="0"/>
    <w:pPr>
      <w:pBdr>
        <w:bottom w:val="single" w:color="auto" w:sz="6" w:space="1"/>
      </w:pBdr>
      <w:jc w:val="center"/>
    </w:pPr>
    <w:rPr>
      <w:rFonts w:ascii="Arial" w:eastAsia="宋体"/>
      <w:vanish/>
      <w:sz w:val="16"/>
    </w:rPr>
  </w:style>
  <w:style w:type="paragraph" w:styleId="24">
    <w:name w:val=""/>
    <w:basedOn w:val="1"/>
    <w:next w:val="1"/>
    <w:uiPriority w:val="0"/>
    <w:pPr>
      <w:pBdr>
        <w:top w:val="single" w:color="auto" w:sz="6" w:space="1"/>
      </w:pBdr>
      <w:jc w:val="center"/>
    </w:pPr>
    <w:rPr>
      <w:rFonts w:ascii="Arial" w:eastAsia="宋体"/>
      <w:vanish/>
      <w:sz w:val="16"/>
    </w:rPr>
  </w:style>
  <w:style w:type="character" w:customStyle="1" w:styleId="25">
    <w:name w:val="tys-main-zt-aa1"/>
    <w:basedOn w:val="5"/>
    <w:uiPriority w:val="0"/>
    <w:rPr>
      <w:bdr w:val="none" w:color="auto" w:sz="0" w:space="0"/>
    </w:rPr>
  </w:style>
  <w:style w:type="character" w:customStyle="1" w:styleId="26">
    <w:name w:val="tys-main-zt-ca1"/>
    <w:basedOn w:val="5"/>
    <w:uiPriority w:val="0"/>
    <w:rPr>
      <w:bdr w:val="none" w:color="auto" w:sz="0" w:space="0"/>
    </w:rPr>
  </w:style>
  <w:style w:type="character" w:customStyle="1" w:styleId="27">
    <w:name w:val="tys-main-zt-cb1"/>
    <w:basedOn w:val="5"/>
    <w:uiPriority w:val="0"/>
  </w:style>
  <w:style w:type="character" w:customStyle="1" w:styleId="28">
    <w:name w:val="textnum1"/>
    <w:basedOn w:val="5"/>
    <w:uiPriority w:val="0"/>
    <w:rPr>
      <w:rFonts w:hint="default" w:ascii="Consolas" w:hAnsi="Consolas" w:eastAsia="Consolas" w:cs="Consolas"/>
      <w:color w:val="FF9027"/>
      <w:sz w:val="22"/>
      <w:szCs w:val="22"/>
    </w:rPr>
  </w:style>
  <w:style w:type="character" w:customStyle="1" w:styleId="29">
    <w:name w:val="read-span1"/>
    <w:basedOn w:val="5"/>
    <w:uiPriority w:val="0"/>
    <w:rPr>
      <w:b/>
      <w:color w:val="FFFFFF"/>
      <w:sz w:val="27"/>
      <w:szCs w:val="2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2026-03-10T10:30:00Z</dcterms:created>
  <dc:creator>greatwall</dc:creator>
  <cp:lastModifiedBy>greatwall</cp:lastModifiedBy>
  <dcterms:modified xsi:type="dcterms:W3CDTF">2026-03-10T10:43:47Z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