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bookmarkStart w:id="0" w:name="_GoBack"/>
      <w:bookmarkEnd w:id="0"/>
    </w:p>
    <w:p>
      <w:pPr>
        <w:jc w:val="center"/>
        <w:rPr>
          <w:rFonts w:hint="eastAsia" w:ascii="黑体" w:eastAsia="黑体"/>
          <w:sz w:val="44"/>
          <w:szCs w:val="44"/>
        </w:rPr>
      </w:pPr>
      <w:r>
        <w:rPr>
          <w:rFonts w:hint="eastAsia" w:ascii="黑体" w:eastAsia="黑体"/>
          <w:sz w:val="44"/>
          <w:szCs w:val="44"/>
        </w:rPr>
        <w:t>湖南省人民政府驻海南办事处</w:t>
      </w:r>
    </w:p>
    <w:p>
      <w:pPr>
        <w:spacing w:line="560" w:lineRule="exact"/>
        <w:jc w:val="center"/>
        <w:rPr>
          <w:kern w:val="0"/>
          <w:sz w:val="24"/>
        </w:rPr>
      </w:pPr>
      <w:r>
        <w:rPr>
          <w:rFonts w:eastAsia="方正小标宋_GBK"/>
          <w:kern w:val="0"/>
          <w:sz w:val="36"/>
          <w:szCs w:val="36"/>
        </w:rPr>
        <w:t>部门整体支出绩效评价指标表</w:t>
      </w:r>
    </w:p>
    <w:tbl>
      <w:tblPr>
        <w:tblStyle w:val="5"/>
        <w:tblW w:w="9958" w:type="dxa"/>
        <w:jc w:val="center"/>
        <w:tblInd w:w="0" w:type="dxa"/>
        <w:tblLayout w:type="fixed"/>
        <w:tblCellMar>
          <w:top w:w="0" w:type="dxa"/>
          <w:left w:w="108" w:type="dxa"/>
          <w:bottom w:w="0" w:type="dxa"/>
          <w:right w:w="108" w:type="dxa"/>
        </w:tblCellMar>
      </w:tblPr>
      <w:tblGrid>
        <w:gridCol w:w="709"/>
        <w:gridCol w:w="677"/>
        <w:gridCol w:w="1014"/>
        <w:gridCol w:w="416"/>
        <w:gridCol w:w="3015"/>
        <w:gridCol w:w="3490"/>
        <w:gridCol w:w="63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eastAsia="黑体"/>
                <w:kern w:val="0"/>
                <w:sz w:val="20"/>
                <w:szCs w:val="20"/>
              </w:rPr>
            </w:pPr>
            <w:r>
              <w:rPr>
                <w:rFonts w:hint="eastAsia" w:ascii="黑体" w:eastAsia="黑体"/>
                <w:kern w:val="0"/>
                <w:sz w:val="20"/>
                <w:szCs w:val="20"/>
              </w:rPr>
              <w:t>三级</w:t>
            </w:r>
          </w:p>
          <w:p>
            <w:pPr>
              <w:widowControl/>
              <w:jc w:val="center"/>
              <w:rPr>
                <w:rFonts w:hint="eastAsia" w:ascii="黑体" w:eastAsia="黑体"/>
                <w:kern w:val="0"/>
                <w:sz w:val="20"/>
                <w:szCs w:val="20"/>
              </w:rPr>
            </w:pPr>
            <w:r>
              <w:rPr>
                <w:rFonts w:hint="eastAsia" w:ascii="黑体" w:eastAsia="黑体"/>
                <w:kern w:val="0"/>
                <w:sz w:val="20"/>
                <w:szCs w:val="20"/>
              </w:rPr>
              <w:t>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eastAsia="黑体"/>
                <w:kern w:val="0"/>
                <w:sz w:val="20"/>
                <w:szCs w:val="20"/>
              </w:rPr>
            </w:pPr>
            <w:r>
              <w:rPr>
                <w:rFonts w:hint="eastAsia" w:ascii="黑体" w:eastAsia="黑体"/>
                <w:kern w:val="0"/>
                <w:sz w:val="20"/>
                <w:szCs w:val="20"/>
              </w:rPr>
              <w:t>分值</w:t>
            </w:r>
          </w:p>
        </w:tc>
        <w:tc>
          <w:tcPr>
            <w:tcW w:w="3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eastAsia="黑体"/>
                <w:kern w:val="0"/>
                <w:sz w:val="20"/>
                <w:szCs w:val="20"/>
              </w:rPr>
            </w:pPr>
            <w:r>
              <w:rPr>
                <w:rFonts w:hint="eastAsia" w:ascii="黑体" w:eastAsia="黑体"/>
                <w:kern w:val="0"/>
                <w:sz w:val="20"/>
                <w:szCs w:val="20"/>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eastAsia="黑体"/>
                <w:kern w:val="0"/>
                <w:sz w:val="20"/>
                <w:szCs w:val="20"/>
              </w:rPr>
            </w:pPr>
            <w:r>
              <w:rPr>
                <w:rFonts w:hint="eastAsia" w:ascii="黑体" w:eastAsia="黑体"/>
                <w:kern w:val="0"/>
                <w:sz w:val="20"/>
                <w:szCs w:val="20"/>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投入</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10分</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预算配置</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nil"/>
              <w:left w:val="nil"/>
              <w:bottom w:val="nil"/>
              <w:right w:val="nil"/>
            </w:tcBorders>
            <w:shd w:val="clear" w:color="auto" w:fill="auto"/>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在职人员控制率=（在职人员数/编制数）×100%，在职人员数：部门（单位）实际在职人数，以财政厅确定的部门决算编制口径为准。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过                                                                                                                                       程</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60分</w:t>
            </w: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预算执行</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hint="eastAsia" w:eastAsia="仿宋_GB2312"/>
                <w:kern w:val="0"/>
                <w:sz w:val="20"/>
                <w:szCs w:val="20"/>
                <w:lang w:val="en-US" w:eastAsia="zh-CN"/>
              </w:rPr>
            </w:pPr>
            <w:r>
              <w:rPr>
                <w:rFonts w:eastAsia="仿宋_GB2312"/>
                <w:kern w:val="0"/>
                <w:sz w:val="20"/>
                <w:szCs w:val="20"/>
              </w:rPr>
              <w:t>预算完成率=（上年结转+年初预算+本年追加预算-年末结余）/（上年结转+年初预算+本年追加预算）×100%。</w:t>
            </w:r>
            <w:r>
              <w:rPr>
                <w:rFonts w:hint="eastAsia" w:eastAsia="仿宋_GB2312"/>
                <w:kern w:val="0"/>
                <w:sz w:val="20"/>
                <w:szCs w:val="20"/>
                <w:lang w:val="en-US" w:eastAsia="zh-CN"/>
              </w:rPr>
              <w:t>98.39%</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预算管理</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818"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7</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73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0</w:t>
            </w:r>
          </w:p>
        </w:tc>
      </w:tr>
      <w:tr>
        <w:tblPrEx>
          <w:tblLayout w:type="fixed"/>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000000" w:sz="4" w:space="0"/>
              <w:right w:val="single" w:color="auto" w:sz="4" w:space="0"/>
            </w:tcBorders>
            <w:vAlign w:val="center"/>
          </w:tcPr>
          <w:p>
            <w:pPr>
              <w:jc w:val="left"/>
              <w:rPr>
                <w:rFonts w:hint="eastAsia" w:eastAsia="仿宋_GB2312"/>
                <w:kern w:val="0"/>
                <w:sz w:val="20"/>
                <w:szCs w:val="20"/>
              </w:rPr>
            </w:pPr>
            <w:r>
              <w:rPr>
                <w:rFonts w:eastAsia="仿宋_GB2312"/>
                <w:kern w:val="0"/>
                <w:sz w:val="20"/>
                <w:szCs w:val="20"/>
              </w:rPr>
              <w:t>过                                                                                                                                       程</w:t>
            </w:r>
          </w:p>
          <w:p>
            <w:pPr>
              <w:jc w:val="left"/>
              <w:rPr>
                <w:rFonts w:hint="eastAsia" w:eastAsia="仿宋_GB2312"/>
                <w:kern w:val="0"/>
                <w:sz w:val="20"/>
                <w:szCs w:val="20"/>
              </w:rPr>
            </w:pPr>
          </w:p>
          <w:p>
            <w:pPr>
              <w:jc w:val="left"/>
              <w:rPr>
                <w:rFonts w:eastAsia="仿宋_GB2312"/>
                <w:kern w:val="0"/>
                <w:sz w:val="20"/>
                <w:szCs w:val="20"/>
              </w:rPr>
            </w:pPr>
            <w:r>
              <w:rPr>
                <w:rFonts w:hint="eastAsia" w:eastAsia="仿宋_GB2312"/>
                <w:kern w:val="0"/>
                <w:sz w:val="20"/>
                <w:szCs w:val="20"/>
              </w:rPr>
              <w:t>60分</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hint="eastAsia" w:eastAsia="仿宋_GB2312"/>
                <w:kern w:val="0"/>
                <w:sz w:val="20"/>
                <w:szCs w:val="20"/>
              </w:rPr>
            </w:pPr>
            <w:r>
              <w:rPr>
                <w:rFonts w:eastAsia="仿宋_GB2312"/>
                <w:kern w:val="0"/>
                <w:sz w:val="20"/>
                <w:szCs w:val="20"/>
              </w:rPr>
              <w:t>预算管理</w:t>
            </w:r>
          </w:p>
          <w:p>
            <w:pPr>
              <w:widowControl/>
              <w:jc w:val="left"/>
              <w:rPr>
                <w:rFonts w:hint="eastAsia"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管理制度健全性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r>
              <w:rPr>
                <w:rFonts w:eastAsia="仿宋_GB2312"/>
                <w:kern w:val="0"/>
                <w:sz w:val="20"/>
                <w:szCs w:val="20"/>
              </w:rPr>
              <w:br w:type="textWrapping"/>
            </w:r>
            <w:r>
              <w:rPr>
                <w:rFonts w:hint="eastAsia" w:ascii="宋体" w:hAnsi="宋体" w:cs="宋体"/>
                <w:kern w:val="0"/>
                <w:sz w:val="20"/>
                <w:szCs w:val="20"/>
              </w:rPr>
              <w:t>②</w:t>
            </w:r>
            <w:r>
              <w:rPr>
                <w:rFonts w:eastAsia="仿宋_GB2312"/>
                <w:kern w:val="0"/>
                <w:sz w:val="20"/>
                <w:szCs w:val="20"/>
              </w:rPr>
              <w:t>有本部门厉行节约制度,2分；</w:t>
            </w:r>
            <w:r>
              <w:rPr>
                <w:rFonts w:eastAsia="仿宋_GB2312"/>
                <w:kern w:val="0"/>
                <w:sz w:val="20"/>
                <w:szCs w:val="20"/>
              </w:rPr>
              <w:br w:type="textWrapping"/>
            </w: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kern w:val="0"/>
                <w:sz w:val="24"/>
              </w:rPr>
            </w:pPr>
            <w:r>
              <w:rPr>
                <w:rFonts w:hint="eastAsia"/>
                <w:kern w:val="0"/>
                <w:sz w:val="24"/>
                <w:lang w:val="en-US" w:eastAsia="zh-CN"/>
              </w:rPr>
              <w:t>8</w:t>
            </w:r>
            <w:r>
              <w:rPr>
                <w:kern w:val="0"/>
                <w:sz w:val="24"/>
              </w:rPr>
              <w:t>　</w:t>
            </w:r>
          </w:p>
        </w:tc>
      </w:tr>
      <w:tr>
        <w:tblPrEx>
          <w:tblLayout w:type="fixed"/>
          <w:tblCellMar>
            <w:top w:w="0" w:type="dxa"/>
            <w:left w:w="108" w:type="dxa"/>
            <w:bottom w:w="0" w:type="dxa"/>
            <w:right w:w="108" w:type="dxa"/>
          </w:tblCellMar>
        </w:tblPrEx>
        <w:trPr>
          <w:trHeight w:val="2856" w:hRule="atLeast"/>
          <w:jc w:val="center"/>
        </w:trPr>
        <w:tc>
          <w:tcPr>
            <w:tcW w:w="709" w:type="dxa"/>
            <w:vMerge w:val="restart"/>
            <w:tcBorders>
              <w:top w:val="nil"/>
              <w:left w:val="single" w:color="auto" w:sz="4" w:space="0"/>
              <w:right w:val="single" w:color="auto" w:sz="4" w:space="0"/>
            </w:tcBorders>
            <w:vAlign w:val="center"/>
          </w:tcPr>
          <w:p>
            <w:pPr>
              <w:jc w:val="center"/>
              <w:rPr>
                <w:rFonts w:hint="eastAsia" w:eastAsia="仿宋_GB2312"/>
                <w:kern w:val="0"/>
                <w:sz w:val="20"/>
                <w:szCs w:val="20"/>
              </w:rPr>
            </w:pPr>
            <w:r>
              <w:rPr>
                <w:rFonts w:eastAsia="仿宋_GB2312"/>
                <w:kern w:val="0"/>
                <w:sz w:val="20"/>
                <w:szCs w:val="20"/>
              </w:rPr>
              <w:t>过                                                                                                                                       程</w:t>
            </w:r>
          </w:p>
          <w:p>
            <w:pPr>
              <w:jc w:val="left"/>
              <w:rPr>
                <w:rFonts w:hint="eastAsia"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60分</w:t>
            </w:r>
          </w:p>
        </w:tc>
        <w:tc>
          <w:tcPr>
            <w:tcW w:w="677" w:type="dxa"/>
            <w:vMerge w:val="restart"/>
            <w:tcBorders>
              <w:top w:val="nil"/>
              <w:left w:val="nil"/>
              <w:right w:val="single" w:color="auto" w:sz="4" w:space="0"/>
            </w:tcBorders>
            <w:shd w:val="clear" w:color="auto" w:fill="auto"/>
            <w:vAlign w:val="center"/>
          </w:tcPr>
          <w:p>
            <w:pPr>
              <w:widowControl/>
              <w:jc w:val="left"/>
              <w:rPr>
                <w:rFonts w:hint="eastAsia" w:eastAsia="仿宋_GB2312"/>
                <w:kern w:val="0"/>
                <w:sz w:val="20"/>
                <w:szCs w:val="20"/>
              </w:rPr>
            </w:pPr>
            <w:r>
              <w:rPr>
                <w:rFonts w:eastAsia="仿宋_GB2312"/>
                <w:kern w:val="0"/>
                <w:sz w:val="20"/>
                <w:szCs w:val="20"/>
              </w:rPr>
              <w:t>预算管理</w:t>
            </w:r>
          </w:p>
          <w:p>
            <w:pPr>
              <w:widowControl/>
              <w:jc w:val="left"/>
              <w:rPr>
                <w:rFonts w:hint="eastAsia"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资金使用合规性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kern w:val="0"/>
                <w:sz w:val="24"/>
              </w:rPr>
            </w:pPr>
            <w:r>
              <w:rPr>
                <w:rFonts w:hint="eastAsia"/>
                <w:kern w:val="0"/>
                <w:sz w:val="24"/>
                <w:lang w:val="en-US" w:eastAsia="zh-CN"/>
              </w:rPr>
              <w:t>6</w:t>
            </w:r>
            <w:r>
              <w:rPr>
                <w:kern w:val="0"/>
                <w:sz w:val="24"/>
              </w:rPr>
              <w:t>　</w:t>
            </w:r>
          </w:p>
        </w:tc>
      </w:tr>
      <w:tr>
        <w:tblPrEx>
          <w:tblLayout w:type="fixed"/>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产出及效率</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30分</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职责履行</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8分</w:t>
            </w:r>
          </w:p>
        </w:tc>
        <w:tc>
          <w:tcPr>
            <w:tcW w:w="1014" w:type="dxa"/>
            <w:tcBorders>
              <w:top w:val="nil"/>
              <w:left w:val="nil"/>
              <w:bottom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省</w:t>
            </w:r>
            <w:r>
              <w:rPr>
                <w:rFonts w:eastAsia="仿宋_GB2312"/>
                <w:kern w:val="0"/>
                <w:sz w:val="20"/>
                <w:szCs w:val="20"/>
              </w:rPr>
              <w:t>绩效办201</w:t>
            </w:r>
            <w:r>
              <w:rPr>
                <w:rFonts w:hint="eastAsia" w:eastAsia="仿宋_GB2312"/>
                <w:kern w:val="0"/>
                <w:sz w:val="20"/>
                <w:szCs w:val="20"/>
              </w:rPr>
              <w:t>7</w:t>
            </w:r>
            <w:r>
              <w:rPr>
                <w:rFonts w:eastAsia="仿宋_GB2312"/>
                <w:kern w:val="0"/>
                <w:sz w:val="20"/>
                <w:szCs w:val="20"/>
              </w:rPr>
              <w:t>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该项得分=（绩效办对应部分考核得分/350）*8</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kern w:val="0"/>
                <w:sz w:val="24"/>
              </w:rPr>
            </w:pPr>
            <w:r>
              <w:rPr>
                <w:rFonts w:hint="eastAsia"/>
                <w:kern w:val="0"/>
                <w:sz w:val="24"/>
                <w:lang w:val="en-US" w:eastAsia="zh-CN"/>
              </w:rPr>
              <w:t>8</w:t>
            </w:r>
            <w:r>
              <w:rPr>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kern w:val="0"/>
                <w:sz w:val="20"/>
                <w:szCs w:val="20"/>
              </w:rPr>
            </w:pPr>
            <w:r>
              <w:rPr>
                <w:rFonts w:eastAsia="仿宋_GB2312"/>
                <w:kern w:val="0"/>
                <w:sz w:val="20"/>
                <w:szCs w:val="20"/>
              </w:rPr>
              <w:t>履职 效益</w:t>
            </w:r>
          </w:p>
          <w:p>
            <w:pPr>
              <w:widowControl/>
              <w:jc w:val="center"/>
              <w:rPr>
                <w:rFonts w:hint="eastAsia"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22分</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经济效益</w:t>
            </w:r>
          </w:p>
        </w:tc>
        <w:tc>
          <w:tcPr>
            <w:tcW w:w="416"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505"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vMerge w:val="restart"/>
            <w:tcBorders>
              <w:top w:val="nil"/>
              <w:left w:val="nil"/>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10</w:t>
            </w:r>
          </w:p>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社会效益</w:t>
            </w:r>
          </w:p>
        </w:tc>
        <w:tc>
          <w:tcPr>
            <w:tcW w:w="416"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505"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637" w:type="dxa"/>
            <w:vMerge w:val="continue"/>
            <w:tcBorders>
              <w:left w:val="nil"/>
              <w:bottom w:val="nil"/>
              <w:right w:val="single" w:color="auto" w:sz="4" w:space="0"/>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行政效能</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BE"/>
    <w:rsid w:val="002755BE"/>
    <w:rsid w:val="008A3F9D"/>
    <w:rsid w:val="00D30CF3"/>
    <w:rsid w:val="00DE31AB"/>
    <w:rsid w:val="226C3664"/>
    <w:rsid w:val="4AA1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345</Words>
  <Characters>1972</Characters>
  <Lines>16</Lines>
  <Paragraphs>4</Paragraphs>
  <TotalTime>1</TotalTime>
  <ScaleCrop>false</ScaleCrop>
  <LinksUpToDate>false</LinksUpToDate>
  <CharactersWithSpaces>2313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2018-04-17T14:06:00Z</dcterms:created>
  <dc:creator>邹 奋远</dc:creator>
  <cp:lastModifiedBy>Administrator</cp:lastModifiedBy>
  <dcterms:modified xsi:type="dcterms:W3CDTF">2018-04-21T04:18:31Z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