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p>
      <w:pPr>
        <w:spacing w:line="560" w:lineRule="exact"/>
        <w:jc w:val="center"/>
        <w:rPr>
          <w:rFonts w:hint="eastAsia" w:eastAsia="方正小标宋_GBK"/>
          <w:kern w:val="0"/>
          <w:sz w:val="36"/>
          <w:szCs w:val="36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</w:rPr>
        <w:t>湖南省人民政府驻海南办事处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5"/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7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6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7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7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19.04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7.69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7.69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11.35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</w:t>
            </w:r>
            <w:r>
              <w:rPr>
                <w:rFonts w:eastAsia="仿宋_GB2312"/>
                <w:kern w:val="0"/>
                <w:szCs w:val="21"/>
              </w:rPr>
              <w:t>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1、业务工作专项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2、运行维护专项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106.59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07.42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42.87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1</w:t>
            </w:r>
            <w:r>
              <w:rPr>
                <w:rFonts w:eastAsia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9</w:t>
            </w:r>
            <w:r>
              <w:rPr>
                <w:rFonts w:eastAsia="仿宋_GB2312"/>
                <w:color w:val="auto"/>
                <w:kern w:val="0"/>
                <w:szCs w:val="21"/>
              </w:rPr>
              <w:t>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6.12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auto"/>
                <w:kern w:val="0"/>
                <w:szCs w:val="21"/>
              </w:rPr>
              <w:t>3</w:t>
            </w:r>
            <w:r>
              <w:rPr>
                <w:rFonts w:eastAsia="仿宋_GB2312"/>
                <w:b w:val="0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4</w:t>
            </w:r>
            <w:r>
              <w:rPr>
                <w:rFonts w:eastAsia="仿宋_GB2312"/>
                <w:color w:val="auto"/>
                <w:kern w:val="0"/>
                <w:szCs w:val="21"/>
              </w:rPr>
              <w:t>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部门整体支出预算调整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（201</w:t>
            </w:r>
            <w:r>
              <w:rPr>
                <w:rFonts w:hint="eastAsia"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严格落实建设节约型机关要求，努力做</w:t>
            </w:r>
            <w:r>
              <w:rPr>
                <w:rFonts w:hint="eastAsia" w:ascii="宋体" w:hAnsi="宋体" w:cs="宋体"/>
                <w:kern w:val="0"/>
                <w:sz w:val="24"/>
              </w:rPr>
              <w:t>到</w:t>
            </w:r>
            <w:r>
              <w:rPr>
                <w:rFonts w:ascii="宋体" w:hAnsi="宋体" w:cs="宋体"/>
                <w:kern w:val="0"/>
                <w:sz w:val="24"/>
              </w:rPr>
              <w:t>厉行节约，杜绝浪费。一是完善内部管理制度。严格物资采购程序，降低采购成本，规定固定资产使用最低期限。提升出差审批权限，严格执行出差条件和经费报销标准，从紧控制年度差旅费总量。二是降低行政运行成本。使用节能器具、灯具，对重点区域、部位实施节能改造，节省水电开支。无条件落实办公用纸双页打印要求，食堂按照人员每餐就餐人数和标准采购食物，杜绝浪费现象。落实公车改革规定，强化车辆日常维护保养，较大幅度降低车辆使用费。</w:t>
            </w:r>
          </w:p>
        </w:tc>
      </w:tr>
    </w:tbl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仿宋_GB2312"/>
          <w:kern w:val="0"/>
          <w:sz w:val="22"/>
          <w:szCs w:val="22"/>
        </w:rPr>
        <w:t>说明：“项目支出”需要填报除专项资金和基本支出以外的所有项目情况，包括业务工作项目、运行维护项目等；“公用经费”填报基本支出中的一般商品和服务支出。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85"/>
    <w:rsid w:val="000B7C85"/>
    <w:rsid w:val="00210F9A"/>
    <w:rsid w:val="00232B79"/>
    <w:rsid w:val="003345F6"/>
    <w:rsid w:val="00412178"/>
    <w:rsid w:val="0052334C"/>
    <w:rsid w:val="00624A40"/>
    <w:rsid w:val="008A3F9D"/>
    <w:rsid w:val="00985E04"/>
    <w:rsid w:val="00A156C1"/>
    <w:rsid w:val="00B4181D"/>
    <w:rsid w:val="00BD31E8"/>
    <w:rsid w:val="00C8769A"/>
    <w:rsid w:val="00CC6B2C"/>
    <w:rsid w:val="00D67489"/>
    <w:rsid w:val="00EE3F3F"/>
    <w:rsid w:val="0843085A"/>
    <w:rsid w:val="7E1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757</Characters>
  <Lines>6</Lines>
  <Paragraphs>1</Paragraphs>
  <TotalTime>68</TotalTime>
  <ScaleCrop>false</ScaleCrop>
  <LinksUpToDate>false</LinksUpToDate>
  <CharactersWithSpaces>888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2018-04-17T12:05:00Z</dcterms:created>
  <dc:creator>邹 奋远</dc:creator>
  <cp:lastModifiedBy>Administrator</cp:lastModifiedBy>
  <dcterms:modified xsi:type="dcterms:W3CDTF">2018-04-21T04:18:21Z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