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7CE" w:rsidRDefault="00CD17CE" w:rsidP="00CD17CE">
      <w:pPr>
        <w:adjustRightInd w:val="0"/>
        <w:snapToGrid w:val="0"/>
        <w:spacing w:line="600" w:lineRule="exact"/>
      </w:pPr>
    </w:p>
    <w:p w:rsidR="00CD17CE" w:rsidRDefault="00CD17CE" w:rsidP="00CD17CE">
      <w:pPr>
        <w:pStyle w:val="1"/>
        <w:adjustRightInd w:val="0"/>
        <w:snapToGrid w:val="0"/>
      </w:pPr>
      <w:r>
        <w:rPr>
          <w:rFonts w:hint="eastAsia"/>
        </w:rPr>
        <w:t>湖南省烟草专卖管理办法</w:t>
      </w:r>
    </w:p>
    <w:p w:rsidR="00CD17CE" w:rsidRDefault="00CD17CE" w:rsidP="00CD17CE">
      <w:pPr>
        <w:pStyle w:val="155"/>
        <w:widowControl w:val="0"/>
        <w:adjustRightInd w:val="0"/>
        <w:snapToGrid w:val="0"/>
        <w:spacing w:before="0" w:line="600" w:lineRule="exact"/>
        <w:ind w:firstLine="620"/>
        <w:jc w:val="both"/>
      </w:pPr>
      <w:r>
        <w:rPr>
          <w:rFonts w:hint="eastAsia"/>
        </w:rPr>
        <w:t>（</w:t>
      </w:r>
      <w:r>
        <w:t>2009</w:t>
      </w:r>
      <w:r>
        <w:rPr>
          <w:rFonts w:hint="eastAsia"/>
        </w:rPr>
        <w:t>年</w:t>
      </w:r>
      <w:r>
        <w:t>11</w:t>
      </w:r>
      <w:r>
        <w:rPr>
          <w:rFonts w:hint="eastAsia"/>
        </w:rPr>
        <w:t>月</w:t>
      </w:r>
      <w:r>
        <w:t>2</w:t>
      </w:r>
      <w:r>
        <w:rPr>
          <w:rFonts w:hint="eastAsia"/>
        </w:rPr>
        <w:t>日湖南省人民政府令第</w:t>
      </w:r>
      <w:r>
        <w:t>243</w:t>
      </w:r>
      <w:r>
        <w:rPr>
          <w:rFonts w:hint="eastAsia"/>
        </w:rPr>
        <w:t xml:space="preserve">号公布　</w:t>
      </w:r>
      <w:r>
        <w:t>2017</w:t>
      </w:r>
      <w:r>
        <w:rPr>
          <w:rFonts w:hint="eastAsia"/>
        </w:rPr>
        <w:t>年</w:t>
      </w:r>
      <w:r>
        <w:t>12</w:t>
      </w:r>
      <w:r>
        <w:rPr>
          <w:rFonts w:hint="eastAsia"/>
        </w:rPr>
        <w:t>月</w:t>
      </w:r>
      <w:r>
        <w:t>28</w:t>
      </w:r>
      <w:r>
        <w:rPr>
          <w:rFonts w:hint="eastAsia"/>
        </w:rPr>
        <w:t>日湖南省人民政府令第</w:t>
      </w:r>
      <w:r>
        <w:t>288</w:t>
      </w:r>
      <w:r>
        <w:rPr>
          <w:rFonts w:hint="eastAsia"/>
        </w:rPr>
        <w:t>号第一次修改</w:t>
      </w:r>
      <w:r>
        <w:rPr>
          <w:rFonts w:hint="eastAsia"/>
        </w:rPr>
        <w:t xml:space="preserve">  2022</w:t>
      </w:r>
      <w:r>
        <w:rPr>
          <w:rFonts w:hint="eastAsia"/>
        </w:rPr>
        <w:t>年</w:t>
      </w:r>
      <w:r>
        <w:rPr>
          <w:rFonts w:hint="eastAsia"/>
        </w:rPr>
        <w:t>10</w:t>
      </w:r>
      <w:r>
        <w:rPr>
          <w:rFonts w:hint="eastAsia"/>
        </w:rPr>
        <w:t>月</w:t>
      </w:r>
      <w:r>
        <w:rPr>
          <w:rFonts w:hint="eastAsia"/>
        </w:rPr>
        <w:t>8</w:t>
      </w:r>
      <w:r>
        <w:rPr>
          <w:rFonts w:hint="eastAsia"/>
        </w:rPr>
        <w:t>日湖南省人民政府令第</w:t>
      </w:r>
      <w:r>
        <w:rPr>
          <w:rFonts w:hint="eastAsia"/>
        </w:rPr>
        <w:t>310</w:t>
      </w:r>
      <w:r>
        <w:rPr>
          <w:rFonts w:hint="eastAsia"/>
        </w:rPr>
        <w:t>号第二次修改）</w:t>
      </w:r>
    </w:p>
    <w:p w:rsidR="00CD17CE" w:rsidRDefault="00CD17CE" w:rsidP="00CD17CE">
      <w:pPr>
        <w:pStyle w:val="155"/>
        <w:widowControl w:val="0"/>
        <w:adjustRightInd w:val="0"/>
        <w:snapToGrid w:val="0"/>
        <w:spacing w:before="0" w:line="600" w:lineRule="exact"/>
        <w:ind w:firstLine="620"/>
        <w:jc w:val="left"/>
      </w:pPr>
    </w:p>
    <w:p w:rsidR="00CD17CE" w:rsidRDefault="00CD17CE" w:rsidP="00CD17CE">
      <w:pPr>
        <w:pStyle w:val="155GB"/>
        <w:widowControl w:val="0"/>
        <w:adjustRightInd w:val="0"/>
        <w:snapToGrid w:val="0"/>
        <w:spacing w:line="600" w:lineRule="exact"/>
        <w:ind w:firstLine="620"/>
        <w:jc w:val="both"/>
      </w:pPr>
      <w:r>
        <w:rPr>
          <w:rFonts w:ascii="黑体" w:eastAsia="黑体" w:hAnsi="黑体" w:hint="eastAsia"/>
        </w:rPr>
        <w:t>第一条</w:t>
      </w:r>
      <w:r>
        <w:rPr>
          <w:rFonts w:hint="eastAsia"/>
        </w:rPr>
        <w:t xml:space="preserve">　根据《中华人民共和国烟草专卖法》、《中华人民共和国烟草专卖法实施条例》等有关法律、法规，制定本办法。</w:t>
      </w:r>
    </w:p>
    <w:p w:rsidR="00CD17CE" w:rsidRDefault="00CD17CE" w:rsidP="00CD17CE">
      <w:pPr>
        <w:pStyle w:val="155GB"/>
        <w:widowControl w:val="0"/>
        <w:adjustRightInd w:val="0"/>
        <w:snapToGrid w:val="0"/>
        <w:spacing w:line="600" w:lineRule="exact"/>
        <w:ind w:firstLine="620"/>
        <w:jc w:val="both"/>
      </w:pPr>
      <w:r>
        <w:rPr>
          <w:rFonts w:ascii="黑体" w:eastAsia="黑体" w:hAnsi="黑体" w:hint="eastAsia"/>
        </w:rPr>
        <w:t>第二条</w:t>
      </w:r>
      <w:r>
        <w:rPr>
          <w:rFonts w:hint="eastAsia"/>
        </w:rPr>
        <w:t xml:space="preserve">　在本省行政区域内从事烟草专卖品生产、经营及其管理的单位和个人，应当遵守本办法。</w:t>
      </w:r>
    </w:p>
    <w:p w:rsidR="00CD17CE" w:rsidRDefault="00CD17CE" w:rsidP="00CD17CE">
      <w:pPr>
        <w:pStyle w:val="155GB"/>
        <w:widowControl w:val="0"/>
        <w:adjustRightInd w:val="0"/>
        <w:snapToGrid w:val="0"/>
        <w:spacing w:line="600" w:lineRule="exact"/>
        <w:ind w:firstLine="620"/>
        <w:jc w:val="both"/>
      </w:pPr>
      <w:r>
        <w:rPr>
          <w:rFonts w:ascii="黑体" w:eastAsia="黑体" w:hAnsi="黑体" w:hint="eastAsia"/>
        </w:rPr>
        <w:t>第三条</w:t>
      </w:r>
      <w:r>
        <w:rPr>
          <w:rFonts w:hint="eastAsia"/>
        </w:rPr>
        <w:t xml:space="preserve">　县级以上人民政府应当加强烟草市场管理，建立健全查处非法生产、经营烟草专卖品行为的协调机制和责任制度，维护烟草市场秩序。</w:t>
      </w:r>
    </w:p>
    <w:p w:rsidR="00CD17CE" w:rsidRDefault="00CD17CE" w:rsidP="00CD17CE">
      <w:pPr>
        <w:pStyle w:val="155GB"/>
        <w:widowControl w:val="0"/>
        <w:adjustRightInd w:val="0"/>
        <w:snapToGrid w:val="0"/>
        <w:spacing w:line="600" w:lineRule="exact"/>
        <w:ind w:firstLine="620"/>
        <w:jc w:val="both"/>
      </w:pPr>
      <w:r>
        <w:rPr>
          <w:rFonts w:hint="eastAsia"/>
        </w:rPr>
        <w:t>县级以上烟草专卖行政主管部门主管本行政区域内的烟草专卖工作。</w:t>
      </w:r>
    </w:p>
    <w:p w:rsidR="00CD17CE" w:rsidRDefault="00CD17CE" w:rsidP="00CD17CE">
      <w:pPr>
        <w:pStyle w:val="155GB"/>
        <w:widowControl w:val="0"/>
        <w:adjustRightInd w:val="0"/>
        <w:snapToGrid w:val="0"/>
        <w:spacing w:line="600" w:lineRule="exact"/>
        <w:ind w:firstLine="620"/>
        <w:jc w:val="both"/>
      </w:pPr>
      <w:r>
        <w:rPr>
          <w:rFonts w:hint="eastAsia"/>
        </w:rPr>
        <w:t>公安、市场监督管理、海关、交通运输、价格等部门应当在各自的职责范围内，协同烟草专卖行政主管部门做好烟草专卖管理工作。</w:t>
      </w:r>
    </w:p>
    <w:p w:rsidR="00CD17CE" w:rsidRDefault="00CD17CE" w:rsidP="00CD17CE">
      <w:pPr>
        <w:pStyle w:val="155GB"/>
        <w:widowControl w:val="0"/>
        <w:adjustRightInd w:val="0"/>
        <w:snapToGrid w:val="0"/>
        <w:spacing w:line="600" w:lineRule="exact"/>
        <w:ind w:firstLine="620"/>
        <w:jc w:val="both"/>
      </w:pPr>
      <w:r>
        <w:rPr>
          <w:rFonts w:ascii="黑体" w:eastAsia="黑体" w:hAnsi="黑体" w:hint="eastAsia"/>
        </w:rPr>
        <w:t>第四条</w:t>
      </w:r>
      <w:r>
        <w:rPr>
          <w:rFonts w:hint="eastAsia"/>
        </w:rPr>
        <w:t xml:space="preserve">　从事烟草专卖品生产、经营业务的单位和个人，应当依法取得烟草专卖许可证。未经许可，任何单位和个人不得生产、经营烟草专卖品。</w:t>
      </w:r>
    </w:p>
    <w:p w:rsidR="00CD17CE" w:rsidRDefault="00CD17CE" w:rsidP="00CD17CE">
      <w:pPr>
        <w:pStyle w:val="155GB"/>
        <w:widowControl w:val="0"/>
        <w:adjustRightInd w:val="0"/>
        <w:snapToGrid w:val="0"/>
        <w:spacing w:line="600" w:lineRule="exact"/>
        <w:ind w:firstLine="620"/>
        <w:jc w:val="both"/>
      </w:pPr>
      <w:r>
        <w:rPr>
          <w:rFonts w:hint="eastAsia"/>
        </w:rPr>
        <w:t>禁止买卖、出租、出借或者以其他形式转让烟草专卖许可证。</w:t>
      </w:r>
    </w:p>
    <w:p w:rsidR="00CD17CE" w:rsidRDefault="00CD17CE" w:rsidP="00CD17CE">
      <w:pPr>
        <w:pStyle w:val="155GB"/>
        <w:widowControl w:val="0"/>
        <w:adjustRightInd w:val="0"/>
        <w:snapToGrid w:val="0"/>
        <w:spacing w:line="600" w:lineRule="exact"/>
        <w:ind w:firstLine="620"/>
        <w:jc w:val="both"/>
      </w:pPr>
      <w:r>
        <w:rPr>
          <w:rFonts w:ascii="黑体" w:eastAsia="黑体" w:hAnsi="黑体" w:hint="eastAsia"/>
        </w:rPr>
        <w:t>第五条</w:t>
      </w:r>
      <w:r>
        <w:rPr>
          <w:rFonts w:hint="eastAsia"/>
        </w:rPr>
        <w:t xml:space="preserve">　烟叶生产地区的人民政府应当按照国家烟叶种植规划</w:t>
      </w:r>
      <w:r>
        <w:rPr>
          <w:rFonts w:hint="eastAsia"/>
        </w:rPr>
        <w:lastRenderedPageBreak/>
        <w:t>和区域布局的要求，科学调整烟叶产区，实行规模种植，促进集约经营。</w:t>
      </w:r>
    </w:p>
    <w:p w:rsidR="00CD17CE" w:rsidRDefault="00CD17CE" w:rsidP="00CD17CE">
      <w:pPr>
        <w:pStyle w:val="155GB"/>
        <w:widowControl w:val="0"/>
        <w:adjustRightInd w:val="0"/>
        <w:snapToGrid w:val="0"/>
        <w:spacing w:line="600" w:lineRule="exact"/>
        <w:ind w:firstLine="620"/>
        <w:jc w:val="both"/>
      </w:pPr>
      <w:r>
        <w:rPr>
          <w:rFonts w:ascii="黑体" w:eastAsia="黑体" w:hAnsi="黑体" w:hint="eastAsia"/>
        </w:rPr>
        <w:t>第六条</w:t>
      </w:r>
      <w:r>
        <w:rPr>
          <w:rFonts w:hint="eastAsia"/>
        </w:rPr>
        <w:t xml:space="preserve">　烟草公司应当依据国家下达的烟叶收购计划，与烟叶种植者签订烟叶种植收购合同。合同应当约定烟叶种植面积、烟叶种植品种、烟叶收购等级标准和价格、双方的权利与义务和违约责任等事项。</w:t>
      </w:r>
    </w:p>
    <w:p w:rsidR="00CD17CE" w:rsidRDefault="00CD17CE" w:rsidP="00CD17CE">
      <w:pPr>
        <w:pStyle w:val="155GB"/>
        <w:widowControl w:val="0"/>
        <w:adjustRightInd w:val="0"/>
        <w:snapToGrid w:val="0"/>
        <w:spacing w:line="600" w:lineRule="exact"/>
        <w:ind w:firstLine="620"/>
        <w:jc w:val="both"/>
      </w:pPr>
      <w:r>
        <w:rPr>
          <w:rFonts w:hint="eastAsia"/>
        </w:rPr>
        <w:t>烟草公司应当按照烟叶种植收购合同收购烟叶，不得提级提价或者压级压价，不得拒收合同约定的烟叶，不得拖欠烟叶货款。烟草公司的烟叶收购站点应当展示符合国家标准的烟叶等级样品，并公布等级价格。</w:t>
      </w:r>
    </w:p>
    <w:p w:rsidR="00CD17CE" w:rsidRDefault="00CD17CE" w:rsidP="00CD17CE">
      <w:pPr>
        <w:pStyle w:val="155GB"/>
        <w:widowControl w:val="0"/>
        <w:adjustRightInd w:val="0"/>
        <w:snapToGrid w:val="0"/>
        <w:spacing w:line="600" w:lineRule="exact"/>
        <w:ind w:firstLine="620"/>
        <w:jc w:val="both"/>
      </w:pPr>
      <w:r>
        <w:rPr>
          <w:rFonts w:hint="eastAsia"/>
        </w:rPr>
        <w:t>烟叶种植者应当按照烟叶种植收购合同的约定交售烟叶。</w:t>
      </w:r>
    </w:p>
    <w:p w:rsidR="00CD17CE" w:rsidRDefault="00CD17CE" w:rsidP="00CD17CE">
      <w:pPr>
        <w:pStyle w:val="155GB"/>
        <w:widowControl w:val="0"/>
        <w:adjustRightInd w:val="0"/>
        <w:snapToGrid w:val="0"/>
        <w:spacing w:line="600" w:lineRule="exact"/>
        <w:ind w:firstLine="620"/>
        <w:jc w:val="both"/>
      </w:pPr>
      <w:r>
        <w:rPr>
          <w:rFonts w:ascii="黑体" w:eastAsia="黑体" w:hAnsi="黑体" w:hint="eastAsia"/>
        </w:rPr>
        <w:t>第七条</w:t>
      </w:r>
      <w:r>
        <w:rPr>
          <w:rFonts w:hint="eastAsia"/>
        </w:rPr>
        <w:t xml:space="preserve">　烟叶生产地区的人民政府应当按照国家计划，组织烟叶生产、收购，不得要求烟叶种植者超出烟叶种植收购合同约定面积种植烟叶，不得要求烟草公司超出烟叶种植收购合同约定收购烟叶。</w:t>
      </w:r>
    </w:p>
    <w:p w:rsidR="00CD17CE" w:rsidRDefault="00CD17CE" w:rsidP="00CD17CE">
      <w:pPr>
        <w:pStyle w:val="155GB"/>
        <w:widowControl w:val="0"/>
        <w:adjustRightInd w:val="0"/>
        <w:snapToGrid w:val="0"/>
        <w:spacing w:line="600" w:lineRule="exact"/>
        <w:ind w:firstLine="620"/>
        <w:jc w:val="both"/>
      </w:pPr>
      <w:r>
        <w:rPr>
          <w:rFonts w:ascii="黑体" w:eastAsia="黑体" w:hAnsi="黑体" w:hint="eastAsia"/>
        </w:rPr>
        <w:t>第八条</w:t>
      </w:r>
      <w:r>
        <w:rPr>
          <w:rFonts w:hint="eastAsia"/>
        </w:rPr>
        <w:t xml:space="preserve">　烟草公司应当因地制宜培育和推广烟叶优良品种，提供烟叶种植技术服务，帮助烟叶种植者改善烟叶生产条件，提高烟叶质量。</w:t>
      </w:r>
    </w:p>
    <w:p w:rsidR="00CD17CE" w:rsidRDefault="00CD17CE" w:rsidP="00CD17CE">
      <w:pPr>
        <w:pStyle w:val="155GB"/>
        <w:widowControl w:val="0"/>
        <w:adjustRightInd w:val="0"/>
        <w:snapToGrid w:val="0"/>
        <w:spacing w:line="600" w:lineRule="exact"/>
        <w:ind w:firstLine="620"/>
        <w:jc w:val="both"/>
      </w:pPr>
      <w:r>
        <w:rPr>
          <w:rFonts w:ascii="黑体" w:eastAsia="黑体" w:hAnsi="黑体" w:hint="eastAsia"/>
        </w:rPr>
        <w:t>第九条</w:t>
      </w:r>
      <w:r>
        <w:rPr>
          <w:rFonts w:hint="eastAsia"/>
        </w:rPr>
        <w:t xml:space="preserve">　市场监督管理、农业、价格等部门应当加强烟草农用物资市场管理，支持烟草公司为烟叶种植者提供烟草农用物资供应服务。</w:t>
      </w:r>
    </w:p>
    <w:p w:rsidR="00CD17CE" w:rsidRDefault="00CD17CE" w:rsidP="00CD17CE">
      <w:pPr>
        <w:pStyle w:val="155GB"/>
        <w:widowControl w:val="0"/>
        <w:adjustRightInd w:val="0"/>
        <w:snapToGrid w:val="0"/>
        <w:spacing w:line="600" w:lineRule="exact"/>
        <w:ind w:firstLine="620"/>
        <w:jc w:val="both"/>
      </w:pPr>
      <w:r>
        <w:rPr>
          <w:rFonts w:ascii="黑体" w:eastAsia="黑体" w:hAnsi="黑体" w:hint="eastAsia"/>
        </w:rPr>
        <w:t>第十条</w:t>
      </w:r>
      <w:r>
        <w:rPr>
          <w:rFonts w:hint="eastAsia"/>
        </w:rPr>
        <w:t xml:space="preserve">　烟草制品生产企业，应当执行国家质量标准，加强科学研究和技术开发，降低有害成分含量，提高烟草制品质量。</w:t>
      </w:r>
    </w:p>
    <w:p w:rsidR="00CD17CE" w:rsidRDefault="00CD17CE" w:rsidP="00CD17CE">
      <w:pPr>
        <w:pStyle w:val="155GB"/>
        <w:widowControl w:val="0"/>
        <w:adjustRightInd w:val="0"/>
        <w:snapToGrid w:val="0"/>
        <w:spacing w:line="600" w:lineRule="exact"/>
        <w:ind w:firstLine="620"/>
        <w:jc w:val="both"/>
      </w:pPr>
      <w:r>
        <w:rPr>
          <w:rFonts w:ascii="黑体" w:eastAsia="黑体" w:hAnsi="黑体" w:hint="eastAsia"/>
        </w:rPr>
        <w:lastRenderedPageBreak/>
        <w:t>第十一条</w:t>
      </w:r>
      <w:r>
        <w:rPr>
          <w:rFonts w:hint="eastAsia"/>
        </w:rPr>
        <w:t xml:space="preserve">　卷烟纸、滤嘴棒、烟用丝束、烟草专用机械的生产企业，应当按照国家烟草专卖行政主管部门的计划以及与烟草制品生产企业签订的订货合同组织生产。</w:t>
      </w:r>
    </w:p>
    <w:p w:rsidR="00CD17CE" w:rsidRDefault="00CD17CE" w:rsidP="00CD17CE">
      <w:pPr>
        <w:pStyle w:val="155GB"/>
        <w:widowControl w:val="0"/>
        <w:adjustRightInd w:val="0"/>
        <w:snapToGrid w:val="0"/>
        <w:spacing w:line="600" w:lineRule="exact"/>
        <w:ind w:firstLine="620"/>
        <w:jc w:val="both"/>
      </w:pPr>
      <w:r>
        <w:rPr>
          <w:rFonts w:hint="eastAsia"/>
        </w:rPr>
        <w:t>烟草专卖品生产企业淘汰报废的烟草专用机械，残次的卷烟纸、滤嘴棒、烟用丝束、烟梗、烟末及下脚料，应当按照国家和省烟草专卖行政主管部门有关规定，由当地烟草专卖行政主管部门监督处理。</w:t>
      </w:r>
    </w:p>
    <w:p w:rsidR="00CD17CE" w:rsidRDefault="00CD17CE" w:rsidP="00CD17CE">
      <w:pPr>
        <w:pStyle w:val="155GB"/>
        <w:widowControl w:val="0"/>
        <w:adjustRightInd w:val="0"/>
        <w:snapToGrid w:val="0"/>
        <w:spacing w:line="600" w:lineRule="exact"/>
        <w:ind w:firstLine="620"/>
        <w:jc w:val="both"/>
      </w:pPr>
      <w:r>
        <w:rPr>
          <w:rFonts w:ascii="黑体" w:eastAsia="黑体" w:hAnsi="黑体" w:hint="eastAsia"/>
        </w:rPr>
        <w:t>第十二条</w:t>
      </w:r>
      <w:r>
        <w:rPr>
          <w:rFonts w:hint="eastAsia"/>
        </w:rPr>
        <w:t xml:space="preserve">　烟草制品批发业务由烟草公司统一经营。烟草公司应当规范经营行为，按照国家和省有关规定确定经营品牌及经营方式。</w:t>
      </w:r>
    </w:p>
    <w:p w:rsidR="00CD17CE" w:rsidRDefault="00CD17CE" w:rsidP="00CD17CE">
      <w:pPr>
        <w:pStyle w:val="155GB"/>
        <w:widowControl w:val="0"/>
        <w:adjustRightInd w:val="0"/>
        <w:snapToGrid w:val="0"/>
        <w:spacing w:line="600" w:lineRule="exact"/>
        <w:ind w:firstLine="620"/>
        <w:jc w:val="both"/>
      </w:pPr>
      <w:r>
        <w:rPr>
          <w:rFonts w:ascii="黑体" w:eastAsia="黑体" w:hAnsi="黑体" w:hint="eastAsia"/>
        </w:rPr>
        <w:t>第十三条</w:t>
      </w:r>
      <w:r>
        <w:rPr>
          <w:rFonts w:hint="eastAsia"/>
        </w:rPr>
        <w:t xml:space="preserve">　经营进出口烟草制品业务，烟草制品应当具有下列标识：</w:t>
      </w:r>
    </w:p>
    <w:p w:rsidR="00CD17CE" w:rsidRDefault="00CD17CE" w:rsidP="00CD17CE">
      <w:pPr>
        <w:pStyle w:val="155GB"/>
        <w:widowControl w:val="0"/>
        <w:adjustRightInd w:val="0"/>
        <w:snapToGrid w:val="0"/>
        <w:spacing w:line="600" w:lineRule="exact"/>
        <w:ind w:firstLine="620"/>
        <w:jc w:val="both"/>
      </w:pPr>
      <w:r>
        <w:rPr>
          <w:rFonts w:hint="eastAsia"/>
        </w:rPr>
        <w:t>（一）进口的烟草制品在箱包、条包和盒包上应当有“由中国烟草总公司专卖”标识；</w:t>
      </w:r>
    </w:p>
    <w:p w:rsidR="00CD17CE" w:rsidRDefault="00CD17CE" w:rsidP="00CD17CE">
      <w:pPr>
        <w:pStyle w:val="155GB"/>
        <w:widowControl w:val="0"/>
        <w:adjustRightInd w:val="0"/>
        <w:snapToGrid w:val="0"/>
        <w:spacing w:line="600" w:lineRule="exact"/>
        <w:ind w:firstLine="620"/>
        <w:jc w:val="both"/>
      </w:pPr>
      <w:r>
        <w:rPr>
          <w:rFonts w:hint="eastAsia"/>
        </w:rPr>
        <w:t>（二）免税店经营的进口烟草制品应当有“中国关税未付”标识；</w:t>
      </w:r>
    </w:p>
    <w:p w:rsidR="00CD17CE" w:rsidRDefault="00CD17CE" w:rsidP="00CD17CE">
      <w:pPr>
        <w:pStyle w:val="155GB"/>
        <w:widowControl w:val="0"/>
        <w:adjustRightInd w:val="0"/>
        <w:snapToGrid w:val="0"/>
        <w:spacing w:line="600" w:lineRule="exact"/>
        <w:ind w:firstLine="620"/>
        <w:jc w:val="both"/>
      </w:pPr>
      <w:r>
        <w:rPr>
          <w:rFonts w:hint="eastAsia"/>
        </w:rPr>
        <w:t>（三）处理没收的非法进口卷烟，应当有烟草专卖行政主管部门在箱包和条包上加贴的“没收非法进口卷烟”标识；</w:t>
      </w:r>
    </w:p>
    <w:p w:rsidR="00CD17CE" w:rsidRDefault="00CD17CE" w:rsidP="00CD17CE">
      <w:pPr>
        <w:pStyle w:val="155GB"/>
        <w:widowControl w:val="0"/>
        <w:adjustRightInd w:val="0"/>
        <w:snapToGrid w:val="0"/>
        <w:spacing w:line="600" w:lineRule="exact"/>
        <w:ind w:firstLine="620"/>
        <w:jc w:val="both"/>
      </w:pPr>
      <w:r>
        <w:rPr>
          <w:rFonts w:hint="eastAsia"/>
        </w:rPr>
        <w:t>（四）专供出口的卷烟、雪茄烟，在小包、条包上应当有“专供出口”标识。</w:t>
      </w:r>
    </w:p>
    <w:p w:rsidR="00CD17CE" w:rsidRDefault="00CD17CE" w:rsidP="00CD17CE">
      <w:pPr>
        <w:pStyle w:val="155GB"/>
        <w:widowControl w:val="0"/>
        <w:adjustRightInd w:val="0"/>
        <w:snapToGrid w:val="0"/>
        <w:spacing w:line="600" w:lineRule="exact"/>
        <w:ind w:firstLine="620"/>
        <w:jc w:val="both"/>
      </w:pPr>
      <w:r>
        <w:rPr>
          <w:rFonts w:ascii="黑体" w:eastAsia="黑体" w:hAnsi="黑体" w:hint="eastAsia"/>
        </w:rPr>
        <w:t>第十四条</w:t>
      </w:r>
      <w:r>
        <w:rPr>
          <w:rFonts w:hint="eastAsia"/>
        </w:rPr>
        <w:t xml:space="preserve">　运输烟草专卖品应当向烟草专卖行政主管部门申请办理烟草专卖品准运证；无烟草专卖品准运证的，承运人不得运输。</w:t>
      </w:r>
    </w:p>
    <w:p w:rsidR="00CD17CE" w:rsidRDefault="00CD17CE" w:rsidP="00CD17CE">
      <w:pPr>
        <w:pStyle w:val="155GB"/>
        <w:widowControl w:val="0"/>
        <w:adjustRightInd w:val="0"/>
        <w:snapToGrid w:val="0"/>
        <w:spacing w:line="600" w:lineRule="exact"/>
        <w:ind w:firstLine="620"/>
        <w:jc w:val="both"/>
      </w:pPr>
      <w:r>
        <w:rPr>
          <w:rFonts w:ascii="黑体" w:eastAsia="黑体" w:hAnsi="黑体" w:hint="eastAsia"/>
        </w:rPr>
        <w:t>第十五条</w:t>
      </w:r>
      <w:r>
        <w:rPr>
          <w:rFonts w:hint="eastAsia"/>
        </w:rPr>
        <w:t xml:space="preserve">　在客运站点、物流站点和运输工具上烟草专卖行政</w:t>
      </w:r>
      <w:r>
        <w:rPr>
          <w:rFonts w:hint="eastAsia"/>
        </w:rPr>
        <w:lastRenderedPageBreak/>
        <w:t>主管部门依法查获的超过国家规定限量的烟草专卖品，当事人无烟草专卖品准运证又无法提供在当地购买烟草专卖品有效凭证的，为无烟草专卖品准运证运输烟草专卖品。</w:t>
      </w:r>
    </w:p>
    <w:p w:rsidR="00CD17CE" w:rsidRDefault="00CD17CE" w:rsidP="00CD17CE">
      <w:pPr>
        <w:pStyle w:val="155GB"/>
        <w:widowControl w:val="0"/>
        <w:adjustRightInd w:val="0"/>
        <w:snapToGrid w:val="0"/>
        <w:spacing w:line="600" w:lineRule="exact"/>
        <w:ind w:firstLine="620"/>
        <w:jc w:val="both"/>
      </w:pPr>
      <w:r>
        <w:rPr>
          <w:rFonts w:ascii="黑体" w:eastAsia="黑体" w:hAnsi="黑体" w:hint="eastAsia"/>
        </w:rPr>
        <w:t>第十六条</w:t>
      </w:r>
      <w:r>
        <w:rPr>
          <w:rFonts w:hint="eastAsia"/>
        </w:rPr>
        <w:t xml:space="preserve">　烟草专卖行政主管部门应当加强烟草专卖管理监督检查，依法维护烟草市场秩序。</w:t>
      </w:r>
    </w:p>
    <w:p w:rsidR="00CD17CE" w:rsidRDefault="00CD17CE" w:rsidP="00CD17CE">
      <w:pPr>
        <w:pStyle w:val="155GB"/>
        <w:widowControl w:val="0"/>
        <w:adjustRightInd w:val="0"/>
        <w:snapToGrid w:val="0"/>
        <w:spacing w:line="600" w:lineRule="exact"/>
        <w:ind w:firstLine="620"/>
        <w:jc w:val="both"/>
      </w:pPr>
      <w:r>
        <w:rPr>
          <w:rFonts w:hint="eastAsia"/>
        </w:rPr>
        <w:t>烟草专卖行政主管部门查处烟草专卖违法案件时，可以行使下列职权：</w:t>
      </w:r>
    </w:p>
    <w:p w:rsidR="00CD17CE" w:rsidRDefault="00CD17CE" w:rsidP="00CD17CE">
      <w:pPr>
        <w:pStyle w:val="155GB"/>
        <w:widowControl w:val="0"/>
        <w:adjustRightInd w:val="0"/>
        <w:snapToGrid w:val="0"/>
        <w:spacing w:line="600" w:lineRule="exact"/>
        <w:ind w:firstLine="620"/>
        <w:jc w:val="both"/>
      </w:pPr>
      <w:r>
        <w:rPr>
          <w:rFonts w:hint="eastAsia"/>
        </w:rPr>
        <w:t>（一）询问违法案件的当事人、嫌疑人和证人，调查与烟草违法行为有关的活动；</w:t>
      </w:r>
    </w:p>
    <w:p w:rsidR="00CD17CE" w:rsidRDefault="00CD17CE" w:rsidP="00CD17CE">
      <w:pPr>
        <w:pStyle w:val="155GB"/>
        <w:widowControl w:val="0"/>
        <w:adjustRightInd w:val="0"/>
        <w:snapToGrid w:val="0"/>
        <w:spacing w:line="600" w:lineRule="exact"/>
        <w:ind w:firstLine="620"/>
        <w:jc w:val="both"/>
      </w:pPr>
      <w:r>
        <w:rPr>
          <w:rFonts w:hint="eastAsia"/>
        </w:rPr>
        <w:t>（二）对违法案件当事人的生产经营场所（包括仓储场所）进行实地检查；</w:t>
      </w:r>
    </w:p>
    <w:p w:rsidR="00CD17CE" w:rsidRDefault="00CD17CE" w:rsidP="00CD17CE">
      <w:pPr>
        <w:pStyle w:val="155GB"/>
        <w:widowControl w:val="0"/>
        <w:adjustRightInd w:val="0"/>
        <w:snapToGrid w:val="0"/>
        <w:spacing w:line="600" w:lineRule="exact"/>
        <w:ind w:firstLine="620"/>
        <w:jc w:val="both"/>
      </w:pPr>
      <w:r>
        <w:rPr>
          <w:rFonts w:hint="eastAsia"/>
        </w:rPr>
        <w:t>（三）查阅、复制、先行登记保存与违法活动有关的合同、发票、账册、单据、记录、文件、业务函电、许可证等资料；</w:t>
      </w:r>
    </w:p>
    <w:p w:rsidR="00CD17CE" w:rsidRDefault="00CD17CE" w:rsidP="00CD17CE">
      <w:pPr>
        <w:pStyle w:val="155GB"/>
        <w:widowControl w:val="0"/>
        <w:adjustRightInd w:val="0"/>
        <w:snapToGrid w:val="0"/>
        <w:spacing w:line="600" w:lineRule="exact"/>
        <w:ind w:firstLine="620"/>
        <w:jc w:val="both"/>
      </w:pPr>
      <w:r>
        <w:rPr>
          <w:rFonts w:hint="eastAsia"/>
        </w:rPr>
        <w:t>（四）法律、法规规定的其他职权。</w:t>
      </w:r>
    </w:p>
    <w:p w:rsidR="00CD17CE" w:rsidRDefault="00CD17CE" w:rsidP="00CD17CE">
      <w:pPr>
        <w:pStyle w:val="155GB"/>
        <w:widowControl w:val="0"/>
        <w:adjustRightInd w:val="0"/>
        <w:snapToGrid w:val="0"/>
        <w:spacing w:line="600" w:lineRule="exact"/>
        <w:ind w:firstLine="620"/>
        <w:jc w:val="both"/>
      </w:pPr>
      <w:r>
        <w:rPr>
          <w:rFonts w:ascii="黑体" w:eastAsia="黑体" w:hAnsi="黑体" w:hint="eastAsia"/>
        </w:rPr>
        <w:t>第十七条</w:t>
      </w:r>
      <w:r>
        <w:rPr>
          <w:rFonts w:hint="eastAsia"/>
        </w:rPr>
        <w:t xml:space="preserve">　无烟草专卖零售许可证经营烟草制品零售业务的，</w:t>
      </w:r>
      <w:bookmarkStart w:id="0" w:name="_Hlk114172826"/>
      <w:r>
        <w:rPr>
          <w:rFonts w:hint="eastAsia"/>
        </w:rPr>
        <w:t>市场监督管理部门</w:t>
      </w:r>
      <w:bookmarkEnd w:id="0"/>
      <w:r>
        <w:rPr>
          <w:rFonts w:hint="eastAsia"/>
        </w:rPr>
        <w:t>应当依法查处。</w:t>
      </w:r>
    </w:p>
    <w:p w:rsidR="00CD17CE" w:rsidRDefault="00CD17CE" w:rsidP="00CD17CE">
      <w:pPr>
        <w:pStyle w:val="155GB"/>
        <w:widowControl w:val="0"/>
        <w:adjustRightInd w:val="0"/>
        <w:snapToGrid w:val="0"/>
        <w:spacing w:line="600" w:lineRule="exact"/>
        <w:ind w:firstLine="620"/>
        <w:jc w:val="both"/>
      </w:pPr>
      <w:r>
        <w:rPr>
          <w:rFonts w:hint="eastAsia"/>
        </w:rPr>
        <w:t>烟草专卖行政主管部门发现无烟草专卖零售许可证经营烟草制品零售业务的，可以查实后提出意见移交市场监督管理部门依法处罚。</w:t>
      </w:r>
    </w:p>
    <w:p w:rsidR="00CD17CE" w:rsidRDefault="00CD17CE" w:rsidP="00CD17CE">
      <w:pPr>
        <w:pStyle w:val="155GB"/>
        <w:widowControl w:val="0"/>
        <w:adjustRightInd w:val="0"/>
        <w:snapToGrid w:val="0"/>
        <w:spacing w:line="600" w:lineRule="exact"/>
        <w:ind w:firstLine="620"/>
        <w:jc w:val="both"/>
      </w:pPr>
      <w:r>
        <w:rPr>
          <w:rFonts w:ascii="黑体" w:eastAsia="黑体" w:hAnsi="黑体" w:hint="eastAsia"/>
        </w:rPr>
        <w:t>第十八条</w:t>
      </w:r>
      <w:r>
        <w:rPr>
          <w:rFonts w:hint="eastAsia"/>
        </w:rPr>
        <w:t xml:space="preserve">　烟草专卖行政主管部门或者烟草专卖行政主管部门会同有关部门，根据举报可以依法对非法运输烟草专卖品的活动进行检查。</w:t>
      </w:r>
    </w:p>
    <w:p w:rsidR="00CD17CE" w:rsidRDefault="00CD17CE" w:rsidP="00CD17CE">
      <w:pPr>
        <w:pStyle w:val="155GB"/>
        <w:widowControl w:val="0"/>
        <w:adjustRightInd w:val="0"/>
        <w:snapToGrid w:val="0"/>
        <w:spacing w:line="600" w:lineRule="exact"/>
        <w:ind w:firstLine="620"/>
        <w:jc w:val="both"/>
      </w:pPr>
      <w:r>
        <w:rPr>
          <w:rFonts w:ascii="黑体" w:eastAsia="黑体" w:hAnsi="黑体" w:hint="eastAsia"/>
        </w:rPr>
        <w:t>第十九条</w:t>
      </w:r>
      <w:r>
        <w:rPr>
          <w:rFonts w:hint="eastAsia"/>
        </w:rPr>
        <w:t xml:space="preserve">　涉案烟草专卖品货值金额的计算，按照国家烟草专</w:t>
      </w:r>
      <w:r>
        <w:rPr>
          <w:rFonts w:hint="eastAsia"/>
        </w:rPr>
        <w:lastRenderedPageBreak/>
        <w:t>卖行政主管部门有关规定执行。</w:t>
      </w:r>
    </w:p>
    <w:p w:rsidR="00CD17CE" w:rsidRDefault="00CD17CE" w:rsidP="00CD17CE">
      <w:pPr>
        <w:pStyle w:val="155GB"/>
        <w:widowControl w:val="0"/>
        <w:adjustRightInd w:val="0"/>
        <w:snapToGrid w:val="0"/>
        <w:spacing w:line="600" w:lineRule="exact"/>
        <w:ind w:firstLine="620"/>
        <w:jc w:val="both"/>
      </w:pPr>
      <w:r>
        <w:rPr>
          <w:rFonts w:ascii="黑体" w:eastAsia="黑体" w:hAnsi="黑体" w:hint="eastAsia"/>
        </w:rPr>
        <w:t>第二十条</w:t>
      </w:r>
      <w:r>
        <w:rPr>
          <w:rFonts w:hint="eastAsia"/>
        </w:rPr>
        <w:t xml:space="preserve">　烟草专卖行政主管部门依法查获的烟草专卖品无法找到当事人，经公告当事人在</w:t>
      </w:r>
      <w:r>
        <w:t>60</w:t>
      </w:r>
      <w:r>
        <w:rPr>
          <w:rFonts w:hint="eastAsia"/>
        </w:rPr>
        <w:t>日内不来接受调查处理的，可以依法进行处理。</w:t>
      </w:r>
    </w:p>
    <w:p w:rsidR="00CD17CE" w:rsidRDefault="00CD17CE" w:rsidP="00CD17CE">
      <w:pPr>
        <w:pStyle w:val="155GB"/>
        <w:widowControl w:val="0"/>
        <w:adjustRightInd w:val="0"/>
        <w:snapToGrid w:val="0"/>
        <w:spacing w:line="600" w:lineRule="exact"/>
        <w:ind w:firstLine="620"/>
        <w:jc w:val="both"/>
      </w:pPr>
      <w:r>
        <w:rPr>
          <w:rFonts w:hint="eastAsia"/>
        </w:rPr>
        <w:t>有关司法机关和行政执法部门依法罚没的烟草专卖品，应当按照国家规定公开销毁、拍卖或者由烟草企业收购。</w:t>
      </w:r>
    </w:p>
    <w:p w:rsidR="00CD17CE" w:rsidRDefault="00CD17CE" w:rsidP="00CD17CE">
      <w:pPr>
        <w:pStyle w:val="155GB"/>
        <w:widowControl w:val="0"/>
        <w:adjustRightInd w:val="0"/>
        <w:snapToGrid w:val="0"/>
        <w:spacing w:line="600" w:lineRule="exact"/>
        <w:ind w:firstLine="620"/>
        <w:jc w:val="both"/>
      </w:pPr>
      <w:r>
        <w:rPr>
          <w:rFonts w:ascii="黑体" w:eastAsia="黑体" w:hAnsi="黑体" w:hint="eastAsia"/>
        </w:rPr>
        <w:t>第二十一条</w:t>
      </w:r>
      <w:r>
        <w:rPr>
          <w:rFonts w:hint="eastAsia"/>
        </w:rPr>
        <w:t xml:space="preserve">　违反本办法第十三条规定，销售无规定标识的烟草制品，由烟草专卖行政主管部门依法没收烟草制品。</w:t>
      </w:r>
    </w:p>
    <w:p w:rsidR="00CD17CE" w:rsidRDefault="00CD17CE" w:rsidP="00CD17CE">
      <w:pPr>
        <w:pStyle w:val="155GB"/>
        <w:widowControl w:val="0"/>
        <w:adjustRightInd w:val="0"/>
        <w:snapToGrid w:val="0"/>
        <w:spacing w:line="600" w:lineRule="exact"/>
        <w:ind w:firstLine="620"/>
        <w:jc w:val="both"/>
      </w:pPr>
      <w:r>
        <w:rPr>
          <w:rFonts w:ascii="黑体" w:eastAsia="黑体" w:hAnsi="黑体" w:hint="eastAsia"/>
        </w:rPr>
        <w:t>第二十二条</w:t>
      </w:r>
      <w:r>
        <w:rPr>
          <w:rFonts w:hint="eastAsia"/>
        </w:rPr>
        <w:t xml:space="preserve">　国家工作人员在烟草专卖行政管理中，玩忽职守、徇私舞弊、滥用职权、索贿受贿或者为烟草专卖品的非法生产、经营活动等提供便利的，由其所在单位或者上级主管部门给予行政处分；给行政管理相对人造成损失的，依法承担赔偿责任；构成犯罪的，依法追究刑事责任。</w:t>
      </w:r>
    </w:p>
    <w:p w:rsidR="00CD17CE" w:rsidRDefault="00CD17CE" w:rsidP="00CD17CE">
      <w:pPr>
        <w:pStyle w:val="155GB"/>
        <w:widowControl w:val="0"/>
        <w:adjustRightInd w:val="0"/>
        <w:snapToGrid w:val="0"/>
        <w:spacing w:line="600" w:lineRule="exact"/>
        <w:ind w:firstLine="620"/>
        <w:jc w:val="both"/>
      </w:pPr>
      <w:r>
        <w:rPr>
          <w:rFonts w:ascii="黑体" w:eastAsia="黑体" w:hAnsi="黑体" w:hint="eastAsia"/>
        </w:rPr>
        <w:t>第二十三条</w:t>
      </w:r>
      <w:r>
        <w:rPr>
          <w:rFonts w:hint="eastAsia"/>
        </w:rPr>
        <w:t xml:space="preserve">　本办法自</w:t>
      </w:r>
      <w:r>
        <w:t>2010</w:t>
      </w:r>
      <w:r>
        <w:rPr>
          <w:rFonts w:hint="eastAsia"/>
        </w:rPr>
        <w:t>年</w:t>
      </w:r>
      <w:r>
        <w:t>1</w:t>
      </w:r>
      <w:r>
        <w:rPr>
          <w:rFonts w:hint="eastAsia"/>
        </w:rPr>
        <w:t>月</w:t>
      </w:r>
      <w:r>
        <w:t>1</w:t>
      </w:r>
      <w:r>
        <w:rPr>
          <w:rFonts w:hint="eastAsia"/>
        </w:rPr>
        <w:t>日起施行。</w:t>
      </w:r>
    </w:p>
    <w:p w:rsidR="00CD17CE" w:rsidRDefault="00CD17CE" w:rsidP="00CD17CE">
      <w:pPr>
        <w:adjustRightInd w:val="0"/>
        <w:snapToGrid w:val="0"/>
        <w:spacing w:line="600" w:lineRule="exact"/>
      </w:pPr>
    </w:p>
    <w:p w:rsidR="00CD17CE" w:rsidRDefault="00CD17CE" w:rsidP="00CD17CE">
      <w:pPr>
        <w:adjustRightInd w:val="0"/>
        <w:snapToGrid w:val="0"/>
        <w:spacing w:line="600" w:lineRule="exact"/>
      </w:pPr>
    </w:p>
    <w:p w:rsidR="00CD17CE" w:rsidRDefault="00CD17CE" w:rsidP="00CD17CE">
      <w:pPr>
        <w:adjustRightInd w:val="0"/>
        <w:snapToGrid w:val="0"/>
        <w:spacing w:line="600" w:lineRule="exact"/>
      </w:pPr>
    </w:p>
    <w:p w:rsidR="004B7E2B" w:rsidRPr="00CD17CE" w:rsidRDefault="004B7E2B" w:rsidP="00CD17CE">
      <w:pPr>
        <w:adjustRightInd w:val="0"/>
        <w:snapToGrid w:val="0"/>
        <w:spacing w:line="600" w:lineRule="exact"/>
        <w:rPr>
          <w:rFonts w:hint="eastAsia"/>
        </w:rPr>
      </w:pPr>
      <w:bookmarkStart w:id="1" w:name="_GoBack"/>
      <w:bookmarkEnd w:id="1"/>
    </w:p>
    <w:sectPr w:rsidR="004B7E2B" w:rsidRPr="00CD17CE" w:rsidSect="00623B16">
      <w:headerReference w:type="even" r:id="rId8"/>
      <w:footerReference w:type="even" r:id="rId9"/>
      <w:footerReference w:type="default" r:id="rId10"/>
      <w:pgSz w:w="11906" w:h="16838" w:code="9"/>
      <w:pgMar w:top="1474" w:right="1418" w:bottom="1418"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4EA" w:rsidRDefault="002F74EA" w:rsidP="00623B16">
      <w:r>
        <w:separator/>
      </w:r>
    </w:p>
  </w:endnote>
  <w:endnote w:type="continuationSeparator" w:id="0">
    <w:p w:rsidR="002F74EA" w:rsidRDefault="002F74EA" w:rsidP="00623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NEU-BZ">
    <w:altName w:val="Arial Unicode MS"/>
    <w:panose1 w:val="02010600010101010101"/>
    <w:charset w:val="86"/>
    <w:family w:val="auto"/>
    <w:pitch w:val="default"/>
    <w:sig w:usb0="00000000" w:usb1="0000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书宋简体">
    <w:altName w:val="方正书宋_GBK"/>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1094432"/>
      <w:docPartObj>
        <w:docPartGallery w:val="Page Numbers (Bottom of Page)"/>
        <w:docPartUnique/>
      </w:docPartObj>
    </w:sdtPr>
    <w:sdtEndPr>
      <w:rPr>
        <w:rFonts w:ascii="仿宋_GB2312" w:eastAsia="仿宋_GB2312" w:hint="eastAsia"/>
        <w:sz w:val="28"/>
        <w:szCs w:val="28"/>
      </w:rPr>
    </w:sdtEndPr>
    <w:sdtContent>
      <w:p w:rsidR="00623B16" w:rsidRPr="00623B16" w:rsidRDefault="00623B16">
        <w:pPr>
          <w:pStyle w:val="a5"/>
          <w:rPr>
            <w:rFonts w:ascii="仿宋_GB2312" w:eastAsia="仿宋_GB2312"/>
            <w:sz w:val="28"/>
            <w:szCs w:val="28"/>
          </w:rPr>
        </w:pPr>
        <w:r w:rsidRPr="00623B16">
          <w:rPr>
            <w:rFonts w:ascii="仿宋_GB2312" w:eastAsia="仿宋_GB2312" w:hint="eastAsia"/>
            <w:sz w:val="28"/>
            <w:szCs w:val="28"/>
          </w:rPr>
          <w:t>—</w:t>
        </w:r>
        <w:r w:rsidRPr="00623B16">
          <w:rPr>
            <w:rFonts w:ascii="Times New Roman" w:eastAsia="仿宋_GB2312" w:hAnsi="Times New Roman"/>
            <w:sz w:val="28"/>
            <w:szCs w:val="28"/>
          </w:rPr>
          <w:t xml:space="preserve"> </w:t>
        </w:r>
        <w:r w:rsidRPr="00623B16">
          <w:rPr>
            <w:rFonts w:ascii="Times New Roman" w:eastAsia="仿宋_GB2312" w:hAnsi="Times New Roman"/>
            <w:sz w:val="28"/>
            <w:szCs w:val="28"/>
          </w:rPr>
          <w:fldChar w:fldCharType="begin"/>
        </w:r>
        <w:r w:rsidRPr="00623B16">
          <w:rPr>
            <w:rFonts w:ascii="Times New Roman" w:eastAsia="仿宋_GB2312" w:hAnsi="Times New Roman"/>
            <w:sz w:val="28"/>
            <w:szCs w:val="28"/>
          </w:rPr>
          <w:instrText>PAGE   \* MERGEFORMAT</w:instrText>
        </w:r>
        <w:r w:rsidRPr="00623B16">
          <w:rPr>
            <w:rFonts w:ascii="Times New Roman" w:eastAsia="仿宋_GB2312" w:hAnsi="Times New Roman"/>
            <w:sz w:val="28"/>
            <w:szCs w:val="28"/>
          </w:rPr>
          <w:fldChar w:fldCharType="separate"/>
        </w:r>
        <w:r w:rsidR="00CD17CE" w:rsidRPr="00CD17CE">
          <w:rPr>
            <w:rFonts w:ascii="Times New Roman" w:eastAsia="仿宋_GB2312" w:hAnsi="Times New Roman"/>
            <w:noProof/>
            <w:sz w:val="28"/>
            <w:szCs w:val="28"/>
            <w:lang w:val="zh-CN"/>
          </w:rPr>
          <w:t>4</w:t>
        </w:r>
        <w:r w:rsidRPr="00623B16">
          <w:rPr>
            <w:rFonts w:ascii="Times New Roman" w:eastAsia="仿宋_GB2312" w:hAnsi="Times New Roman"/>
            <w:sz w:val="28"/>
            <w:szCs w:val="28"/>
          </w:rPr>
          <w:fldChar w:fldCharType="end"/>
        </w:r>
        <w:r w:rsidRPr="00623B16">
          <w:rPr>
            <w:rFonts w:ascii="Times New Roman" w:eastAsia="仿宋_GB2312" w:hAnsi="Times New Roman"/>
            <w:sz w:val="28"/>
            <w:szCs w:val="28"/>
          </w:rPr>
          <w:t xml:space="preserve"> </w:t>
        </w:r>
        <w:r w:rsidRPr="00623B16">
          <w:rPr>
            <w:rFonts w:ascii="仿宋_GB2312" w:eastAsia="仿宋_GB2312" w:hint="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805019"/>
      <w:docPartObj>
        <w:docPartGallery w:val="Page Numbers (Bottom of Page)"/>
        <w:docPartUnique/>
      </w:docPartObj>
    </w:sdtPr>
    <w:sdtEndPr>
      <w:rPr>
        <w:rFonts w:ascii="Times New Roman" w:hAnsi="Times New Roman"/>
        <w:sz w:val="28"/>
        <w:szCs w:val="28"/>
      </w:rPr>
    </w:sdtEndPr>
    <w:sdtContent>
      <w:p w:rsidR="00623B16" w:rsidRPr="00623B16" w:rsidRDefault="00623B16" w:rsidP="00623B16">
        <w:pPr>
          <w:pStyle w:val="a5"/>
          <w:jc w:val="right"/>
          <w:rPr>
            <w:rFonts w:ascii="Times New Roman" w:hAnsi="Times New Roman"/>
            <w:sz w:val="28"/>
            <w:szCs w:val="28"/>
          </w:rPr>
        </w:pPr>
        <w:r w:rsidRPr="00623B16">
          <w:rPr>
            <w:rFonts w:ascii="仿宋_GB2312" w:eastAsia="仿宋_GB2312" w:hAnsi="Times New Roman" w:hint="eastAsia"/>
            <w:sz w:val="28"/>
            <w:szCs w:val="28"/>
          </w:rPr>
          <w:t xml:space="preserve">— </w:t>
        </w:r>
        <w:r w:rsidRPr="00623B16">
          <w:rPr>
            <w:rFonts w:ascii="Times New Roman" w:eastAsia="仿宋_GB2312" w:hAnsi="Times New Roman"/>
            <w:sz w:val="28"/>
            <w:szCs w:val="28"/>
          </w:rPr>
          <w:fldChar w:fldCharType="begin"/>
        </w:r>
        <w:r w:rsidRPr="00623B16">
          <w:rPr>
            <w:rFonts w:ascii="Times New Roman" w:eastAsia="仿宋_GB2312" w:hAnsi="Times New Roman"/>
            <w:sz w:val="28"/>
            <w:szCs w:val="28"/>
          </w:rPr>
          <w:instrText>PAGE   \* MERGEFORMAT</w:instrText>
        </w:r>
        <w:r w:rsidRPr="00623B16">
          <w:rPr>
            <w:rFonts w:ascii="Times New Roman" w:eastAsia="仿宋_GB2312" w:hAnsi="Times New Roman"/>
            <w:sz w:val="28"/>
            <w:szCs w:val="28"/>
          </w:rPr>
          <w:fldChar w:fldCharType="separate"/>
        </w:r>
        <w:r w:rsidR="00CD17CE" w:rsidRPr="00CD17CE">
          <w:rPr>
            <w:rFonts w:ascii="Times New Roman" w:eastAsia="仿宋_GB2312" w:hAnsi="Times New Roman"/>
            <w:noProof/>
            <w:sz w:val="28"/>
            <w:szCs w:val="28"/>
            <w:lang w:val="zh-CN"/>
          </w:rPr>
          <w:t>3</w:t>
        </w:r>
        <w:r w:rsidRPr="00623B16">
          <w:rPr>
            <w:rFonts w:ascii="Times New Roman" w:eastAsia="仿宋_GB2312" w:hAnsi="Times New Roman"/>
            <w:sz w:val="28"/>
            <w:szCs w:val="28"/>
          </w:rPr>
          <w:fldChar w:fldCharType="end"/>
        </w:r>
        <w:r w:rsidRPr="00623B16">
          <w:rPr>
            <w:rFonts w:ascii="仿宋_GB2312" w:eastAsia="仿宋_GB2312" w:hAnsi="Times New Roman"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4EA" w:rsidRDefault="002F74EA" w:rsidP="00623B16">
      <w:r>
        <w:separator/>
      </w:r>
    </w:p>
  </w:footnote>
  <w:footnote w:type="continuationSeparator" w:id="0">
    <w:p w:rsidR="002F74EA" w:rsidRDefault="002F74EA" w:rsidP="00623B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B16" w:rsidRPr="0030549A" w:rsidRDefault="00623B16" w:rsidP="0030549A">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111D5B"/>
    <w:multiLevelType w:val="hybridMultilevel"/>
    <w:tmpl w:val="31AAAEAE"/>
    <w:lvl w:ilvl="0" w:tplc="0E9A75A2">
      <w:start w:val="7"/>
      <w:numFmt w:val="bullet"/>
      <w:lvlText w:val=""/>
      <w:lvlJc w:val="left"/>
      <w:pPr>
        <w:ind w:left="720" w:hanging="360"/>
      </w:pPr>
      <w:rPr>
        <w:rFonts w:ascii="Wingdings" w:eastAsia="宋体" w:hAnsi="Wingdings" w:cs="Times New Roman" w:hint="default"/>
        <w:sz w:val="1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nsid w:val="7C76030E"/>
    <w:multiLevelType w:val="hybridMultilevel"/>
    <w:tmpl w:val="FDCE5F6C"/>
    <w:lvl w:ilvl="0" w:tplc="619C381C">
      <w:numFmt w:val="bullet"/>
      <w:lvlText w:val="—"/>
      <w:lvlJc w:val="left"/>
      <w:pPr>
        <w:ind w:left="360" w:hanging="360"/>
      </w:pPr>
      <w:rPr>
        <w:rFonts w:ascii="宋体" w:eastAsia="宋体" w:hAnsi="宋体" w:cs="Times New Roman" w:hint="eastAsia"/>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DD7"/>
    <w:rsid w:val="000C0C39"/>
    <w:rsid w:val="000C28D7"/>
    <w:rsid w:val="000E372E"/>
    <w:rsid w:val="000E69D7"/>
    <w:rsid w:val="00120D70"/>
    <w:rsid w:val="00141574"/>
    <w:rsid w:val="00145CA2"/>
    <w:rsid w:val="00202DFB"/>
    <w:rsid w:val="002302B9"/>
    <w:rsid w:val="00240D1D"/>
    <w:rsid w:val="00244DCE"/>
    <w:rsid w:val="0027698B"/>
    <w:rsid w:val="00285E47"/>
    <w:rsid w:val="00292FBF"/>
    <w:rsid w:val="002B1F7C"/>
    <w:rsid w:val="002E3589"/>
    <w:rsid w:val="002F74EA"/>
    <w:rsid w:val="0030549A"/>
    <w:rsid w:val="00395E70"/>
    <w:rsid w:val="003C76E2"/>
    <w:rsid w:val="003D3A0D"/>
    <w:rsid w:val="003E0F6D"/>
    <w:rsid w:val="0045318C"/>
    <w:rsid w:val="00494B9C"/>
    <w:rsid w:val="004A204D"/>
    <w:rsid w:val="004B7672"/>
    <w:rsid w:val="004B7E2B"/>
    <w:rsid w:val="004C5226"/>
    <w:rsid w:val="004D1C1B"/>
    <w:rsid w:val="005B11FC"/>
    <w:rsid w:val="005F2AF8"/>
    <w:rsid w:val="00623B16"/>
    <w:rsid w:val="00626D85"/>
    <w:rsid w:val="00630202"/>
    <w:rsid w:val="00662A0B"/>
    <w:rsid w:val="00697C55"/>
    <w:rsid w:val="006F0491"/>
    <w:rsid w:val="00754A98"/>
    <w:rsid w:val="00767364"/>
    <w:rsid w:val="00795AC1"/>
    <w:rsid w:val="007B6F5C"/>
    <w:rsid w:val="00812B03"/>
    <w:rsid w:val="00864DD7"/>
    <w:rsid w:val="008A27CC"/>
    <w:rsid w:val="008A74B6"/>
    <w:rsid w:val="008F125B"/>
    <w:rsid w:val="009A5027"/>
    <w:rsid w:val="009C564D"/>
    <w:rsid w:val="00A24780"/>
    <w:rsid w:val="00A35583"/>
    <w:rsid w:val="00A62B81"/>
    <w:rsid w:val="00A63E18"/>
    <w:rsid w:val="00A66DF9"/>
    <w:rsid w:val="00AD61C1"/>
    <w:rsid w:val="00B85365"/>
    <w:rsid w:val="00BA26B8"/>
    <w:rsid w:val="00BB095C"/>
    <w:rsid w:val="00BD062C"/>
    <w:rsid w:val="00BF203A"/>
    <w:rsid w:val="00BF468D"/>
    <w:rsid w:val="00C210CD"/>
    <w:rsid w:val="00C97024"/>
    <w:rsid w:val="00CD17CE"/>
    <w:rsid w:val="00CF714B"/>
    <w:rsid w:val="00D13BB6"/>
    <w:rsid w:val="00D36227"/>
    <w:rsid w:val="00D5173A"/>
    <w:rsid w:val="00D621FA"/>
    <w:rsid w:val="00D74B42"/>
    <w:rsid w:val="00D90B47"/>
    <w:rsid w:val="00DA2658"/>
    <w:rsid w:val="00DB38A2"/>
    <w:rsid w:val="00DB7514"/>
    <w:rsid w:val="00E215A3"/>
    <w:rsid w:val="00E43DF2"/>
    <w:rsid w:val="00E82F91"/>
    <w:rsid w:val="00ED3D4D"/>
    <w:rsid w:val="00EF1FAA"/>
    <w:rsid w:val="00EF57AD"/>
    <w:rsid w:val="00F00AE5"/>
    <w:rsid w:val="00F243BE"/>
    <w:rsid w:val="00F408EE"/>
    <w:rsid w:val="00F428DA"/>
    <w:rsid w:val="00FA43D9"/>
    <w:rsid w:val="00FB4253"/>
    <w:rsid w:val="00FD4FDD"/>
    <w:rsid w:val="00FE1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C22FDA0-5939-4FED-A659-C9A2E2D4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B9C"/>
    <w:rPr>
      <w:rFonts w:ascii="Calibri" w:eastAsia="宋体" w:hAnsi="NEU-BZ" w:cs="Times New Roman"/>
      <w:kern w:val="0"/>
      <w:sz w:val="22"/>
    </w:rPr>
  </w:style>
  <w:style w:type="paragraph" w:styleId="1">
    <w:name w:val="heading 1"/>
    <w:basedOn w:val="a"/>
    <w:next w:val="a"/>
    <w:link w:val="1Char"/>
    <w:qFormat/>
    <w:rsid w:val="004C5226"/>
    <w:pPr>
      <w:spacing w:line="600" w:lineRule="exact"/>
      <w:jc w:val="center"/>
      <w:outlineLvl w:val="0"/>
    </w:pPr>
    <w:rPr>
      <w:rFonts w:ascii="方正小标宋简体" w:eastAsia="方正小标宋简体" w:hAnsi="方正书宋简体"/>
      <w:color w:val="000000"/>
      <w:sz w:val="42"/>
      <w:szCs w:val="42"/>
    </w:rPr>
  </w:style>
  <w:style w:type="paragraph" w:styleId="2">
    <w:name w:val="heading 2"/>
    <w:basedOn w:val="a"/>
    <w:next w:val="a"/>
    <w:link w:val="2Char"/>
    <w:unhideWhenUsed/>
    <w:qFormat/>
    <w:rsid w:val="0076736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4C5226"/>
    <w:rPr>
      <w:rFonts w:ascii="方正小标宋简体" w:eastAsia="方正小标宋简体" w:hAnsi="方正书宋简体" w:cs="Times New Roman"/>
      <w:color w:val="000000"/>
      <w:kern w:val="0"/>
      <w:sz w:val="42"/>
      <w:szCs w:val="42"/>
    </w:rPr>
  </w:style>
  <w:style w:type="paragraph" w:customStyle="1" w:styleId="155GB">
    <w:name w:val="15.5正文（仿宋GB）"/>
    <w:basedOn w:val="a"/>
    <w:qFormat/>
    <w:rsid w:val="004C5226"/>
    <w:pPr>
      <w:ind w:firstLineChars="200" w:firstLine="200"/>
    </w:pPr>
    <w:rPr>
      <w:rFonts w:ascii="方正书宋简体" w:eastAsia="仿宋_GB2312" w:hAnsi="方正书宋简体"/>
      <w:color w:val="000000"/>
      <w:sz w:val="31"/>
      <w:szCs w:val="31"/>
    </w:rPr>
  </w:style>
  <w:style w:type="paragraph" w:customStyle="1" w:styleId="155">
    <w:name w:val="15.5楷体（标题下楷体）"/>
    <w:basedOn w:val="a"/>
    <w:qFormat/>
    <w:rsid w:val="004C5226"/>
    <w:pPr>
      <w:spacing w:before="105"/>
      <w:ind w:firstLineChars="200" w:firstLine="200"/>
      <w:jc w:val="center"/>
    </w:pPr>
    <w:rPr>
      <w:rFonts w:ascii="方正书宋简体" w:eastAsia="楷体_GB2312" w:hAnsi="方正书宋简体"/>
      <w:color w:val="000000"/>
      <w:sz w:val="31"/>
      <w:szCs w:val="31"/>
    </w:rPr>
  </w:style>
  <w:style w:type="character" w:customStyle="1" w:styleId="2Char">
    <w:name w:val="标题 2 Char"/>
    <w:basedOn w:val="a0"/>
    <w:link w:val="2"/>
    <w:uiPriority w:val="9"/>
    <w:semiHidden/>
    <w:rsid w:val="00767364"/>
    <w:rPr>
      <w:rFonts w:asciiTheme="majorHAnsi" w:eastAsiaTheme="majorEastAsia" w:hAnsiTheme="majorHAnsi" w:cstheme="majorBidi"/>
      <w:b/>
      <w:bCs/>
      <w:kern w:val="0"/>
      <w:sz w:val="32"/>
      <w:szCs w:val="32"/>
    </w:rPr>
  </w:style>
  <w:style w:type="paragraph" w:customStyle="1" w:styleId="a3">
    <w:name w:val="一级标题（二号小标宋）"/>
    <w:basedOn w:val="a"/>
    <w:link w:val="Char"/>
    <w:qFormat/>
    <w:rsid w:val="004A204D"/>
    <w:pPr>
      <w:jc w:val="center"/>
    </w:pPr>
    <w:rPr>
      <w:rFonts w:ascii="方正书宋简体" w:eastAsia="方正小标宋_GBK" w:hAnsi="方正书宋简体"/>
      <w:color w:val="000000"/>
      <w:sz w:val="42"/>
      <w:szCs w:val="42"/>
    </w:rPr>
  </w:style>
  <w:style w:type="character" w:customStyle="1" w:styleId="Char">
    <w:name w:val="一级标题（二号小标宋） Char"/>
    <w:basedOn w:val="a0"/>
    <w:link w:val="a3"/>
    <w:qFormat/>
    <w:rsid w:val="004A204D"/>
    <w:rPr>
      <w:rFonts w:ascii="方正书宋简体" w:eastAsia="方正小标宋_GBK" w:hAnsi="方正书宋简体" w:cs="Times New Roman"/>
      <w:color w:val="000000"/>
      <w:kern w:val="0"/>
      <w:sz w:val="42"/>
      <w:szCs w:val="42"/>
    </w:rPr>
  </w:style>
  <w:style w:type="paragraph" w:styleId="a4">
    <w:name w:val="header"/>
    <w:basedOn w:val="a"/>
    <w:link w:val="Char0"/>
    <w:uiPriority w:val="99"/>
    <w:unhideWhenUsed/>
    <w:rsid w:val="00623B1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23B16"/>
    <w:rPr>
      <w:rFonts w:ascii="Calibri" w:eastAsia="宋体" w:hAnsi="NEU-BZ" w:cs="Times New Roman"/>
      <w:kern w:val="0"/>
      <w:sz w:val="18"/>
      <w:szCs w:val="18"/>
    </w:rPr>
  </w:style>
  <w:style w:type="paragraph" w:styleId="a5">
    <w:name w:val="footer"/>
    <w:basedOn w:val="a"/>
    <w:link w:val="Char1"/>
    <w:uiPriority w:val="99"/>
    <w:unhideWhenUsed/>
    <w:rsid w:val="00623B16"/>
    <w:pPr>
      <w:tabs>
        <w:tab w:val="center" w:pos="4153"/>
        <w:tab w:val="right" w:pos="8306"/>
      </w:tabs>
      <w:snapToGrid w:val="0"/>
    </w:pPr>
    <w:rPr>
      <w:sz w:val="18"/>
      <w:szCs w:val="18"/>
    </w:rPr>
  </w:style>
  <w:style w:type="character" w:customStyle="1" w:styleId="Char1">
    <w:name w:val="页脚 Char"/>
    <w:basedOn w:val="a0"/>
    <w:link w:val="a5"/>
    <w:uiPriority w:val="99"/>
    <w:rsid w:val="00623B16"/>
    <w:rPr>
      <w:rFonts w:ascii="Calibri" w:eastAsia="宋体" w:hAnsi="NEU-BZ"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64F9C-2485-475F-8526-61DD832A5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342</Words>
  <Characters>1951</Characters>
  <Application>Microsoft Office Word</Application>
  <DocSecurity>0</DocSecurity>
  <Lines>16</Lines>
  <Paragraphs>4</Paragraphs>
  <ScaleCrop>false</ScaleCrop>
  <Company>P R C</Company>
  <LinksUpToDate>false</LinksUpToDate>
  <CharactersWithSpaces>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2022-10-20T08:15:00Z</dcterms:created>
  <dcterms:modified xsi:type="dcterms:W3CDTF">2022-10-20T08:16:00Z</dcterms:modified>
</cp:coreProperties>
</file>