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A0B" w:rsidRDefault="00662A0B" w:rsidP="00662A0B">
      <w:pPr>
        <w:pStyle w:val="1"/>
        <w:adjustRightInd w:val="0"/>
        <w:snapToGrid w:val="0"/>
      </w:pPr>
    </w:p>
    <w:p w:rsidR="00662A0B" w:rsidRDefault="00662A0B" w:rsidP="00662A0B">
      <w:pPr>
        <w:pStyle w:val="1"/>
        <w:adjustRightInd w:val="0"/>
        <w:snapToGrid w:val="0"/>
      </w:pPr>
      <w:r>
        <w:rPr>
          <w:rFonts w:hint="eastAsia"/>
        </w:rPr>
        <w:t>湖南省实施《机关事务管理条例》办法</w:t>
      </w:r>
    </w:p>
    <w:p w:rsidR="00662A0B" w:rsidRDefault="00662A0B" w:rsidP="00662A0B">
      <w:pPr>
        <w:pStyle w:val="155"/>
        <w:widowControl w:val="0"/>
        <w:adjustRightInd w:val="0"/>
        <w:snapToGrid w:val="0"/>
        <w:spacing w:before="0" w:line="600" w:lineRule="exact"/>
        <w:ind w:firstLine="620"/>
        <w:jc w:val="left"/>
      </w:pPr>
      <w:r>
        <w:rPr>
          <w:rFonts w:hint="eastAsia"/>
        </w:rPr>
        <w:t>（</w:t>
      </w:r>
      <w:r>
        <w:rPr>
          <w:rFonts w:hint="eastAsia"/>
        </w:rPr>
        <w:t>2014</w:t>
      </w:r>
      <w:r>
        <w:rPr>
          <w:rFonts w:hint="eastAsia"/>
        </w:rPr>
        <w:t>年</w:t>
      </w:r>
      <w:r>
        <w:rPr>
          <w:rFonts w:hint="eastAsia"/>
        </w:rPr>
        <w:t>12</w:t>
      </w:r>
      <w:r>
        <w:rPr>
          <w:rFonts w:hint="eastAsia"/>
        </w:rPr>
        <w:t>月</w:t>
      </w:r>
      <w:r>
        <w:rPr>
          <w:rFonts w:hint="eastAsia"/>
        </w:rPr>
        <w:t>13</w:t>
      </w:r>
      <w:r>
        <w:rPr>
          <w:rFonts w:hint="eastAsia"/>
        </w:rPr>
        <w:t>日湖南省人民政府令第</w:t>
      </w:r>
      <w:bookmarkStart w:id="0" w:name="_GoBack"/>
      <w:bookmarkEnd w:id="0"/>
      <w:r>
        <w:rPr>
          <w:rFonts w:hint="eastAsia"/>
        </w:rPr>
        <w:t>272</w:t>
      </w:r>
      <w:r>
        <w:rPr>
          <w:rFonts w:hint="eastAsia"/>
        </w:rPr>
        <w:t>号公布</w:t>
      </w:r>
      <w:r>
        <w:rPr>
          <w:rFonts w:hint="eastAsia"/>
        </w:rPr>
        <w:t xml:space="preserve">  2022</w:t>
      </w:r>
      <w:r>
        <w:rPr>
          <w:rFonts w:hint="eastAsia"/>
        </w:rPr>
        <w:t>年</w:t>
      </w:r>
      <w:r>
        <w:rPr>
          <w:rFonts w:hint="eastAsia"/>
        </w:rPr>
        <w:t>10</w:t>
      </w:r>
      <w:r>
        <w:rPr>
          <w:rFonts w:hint="eastAsia"/>
        </w:rPr>
        <w:t>月</w:t>
      </w:r>
      <w:r>
        <w:rPr>
          <w:rFonts w:hint="eastAsia"/>
        </w:rPr>
        <w:t>8</w:t>
      </w:r>
      <w:r>
        <w:rPr>
          <w:rFonts w:hint="eastAsia"/>
        </w:rPr>
        <w:t>日湖南省人民政府令第</w:t>
      </w:r>
      <w:r>
        <w:rPr>
          <w:rFonts w:hint="eastAsia"/>
        </w:rPr>
        <w:t>310</w:t>
      </w:r>
      <w:r>
        <w:rPr>
          <w:rFonts w:hint="eastAsia"/>
        </w:rPr>
        <w:t>号修改）</w:t>
      </w:r>
    </w:p>
    <w:p w:rsidR="00662A0B" w:rsidRPr="00662A0B" w:rsidRDefault="00662A0B" w:rsidP="00662A0B">
      <w:pPr>
        <w:pStyle w:val="2"/>
        <w:keepNext w:val="0"/>
        <w:keepLines w:val="0"/>
        <w:widowControl w:val="0"/>
        <w:spacing w:beforeLines="100" w:before="312" w:afterLines="100" w:after="312" w:line="600" w:lineRule="exact"/>
        <w:jc w:val="center"/>
        <w:rPr>
          <w:rFonts w:ascii="黑体" w:eastAsia="黑体" w:hAnsi="Arial" w:cs="Times New Roman"/>
          <w:b w:val="0"/>
        </w:rPr>
      </w:pPr>
      <w:r w:rsidRPr="00662A0B">
        <w:rPr>
          <w:rFonts w:ascii="黑体" w:eastAsia="黑体" w:hAnsi="Arial" w:cs="Times New Roman" w:hint="eastAsia"/>
          <w:b w:val="0"/>
        </w:rPr>
        <w:t>第一章　总　则</w:t>
      </w:r>
    </w:p>
    <w:p w:rsidR="00662A0B" w:rsidRDefault="00662A0B" w:rsidP="00662A0B">
      <w:pPr>
        <w:pStyle w:val="155GB"/>
        <w:widowControl w:val="0"/>
        <w:adjustRightInd w:val="0"/>
        <w:snapToGrid w:val="0"/>
        <w:spacing w:line="600" w:lineRule="exact"/>
        <w:ind w:firstLine="620"/>
        <w:jc w:val="both"/>
      </w:pPr>
      <w:r>
        <w:rPr>
          <w:rFonts w:ascii="黑体" w:eastAsia="黑体" w:hAnsi="黑体" w:hint="eastAsia"/>
        </w:rPr>
        <w:t>第一条</w:t>
      </w:r>
      <w:r>
        <w:rPr>
          <w:rFonts w:hint="eastAsia"/>
        </w:rPr>
        <w:t xml:space="preserve">　根据《机关事务管理条例》和有关法律、法规，结合本省实际，制定本办法。</w:t>
      </w:r>
    </w:p>
    <w:p w:rsidR="00662A0B" w:rsidRDefault="00662A0B" w:rsidP="00662A0B">
      <w:pPr>
        <w:pStyle w:val="155GB"/>
        <w:widowControl w:val="0"/>
        <w:adjustRightInd w:val="0"/>
        <w:snapToGrid w:val="0"/>
        <w:spacing w:line="600" w:lineRule="exact"/>
        <w:ind w:firstLine="620"/>
        <w:jc w:val="both"/>
      </w:pPr>
      <w:r>
        <w:rPr>
          <w:rFonts w:ascii="黑体" w:eastAsia="黑体" w:hAnsi="黑体" w:hint="eastAsia"/>
        </w:rPr>
        <w:t>第二条</w:t>
      </w:r>
      <w:r>
        <w:rPr>
          <w:rFonts w:hint="eastAsia"/>
        </w:rPr>
        <w:t xml:space="preserve">　本省各级人民政府和县级以上人民政府各部门的机关事务管理适用本办法。</w:t>
      </w:r>
    </w:p>
    <w:p w:rsidR="00662A0B" w:rsidRDefault="00662A0B" w:rsidP="00662A0B">
      <w:pPr>
        <w:pStyle w:val="155GB"/>
        <w:widowControl w:val="0"/>
        <w:adjustRightInd w:val="0"/>
        <w:snapToGrid w:val="0"/>
        <w:spacing w:line="600" w:lineRule="exact"/>
        <w:ind w:firstLine="620"/>
        <w:jc w:val="both"/>
      </w:pPr>
      <w:r>
        <w:rPr>
          <w:rFonts w:hint="eastAsia"/>
        </w:rPr>
        <w:t>本办法所称机关事务，是指保障机关正常运行的各项活动，包括经费运行、资产管理和后勤服务等方面的事务。</w:t>
      </w:r>
    </w:p>
    <w:p w:rsidR="00662A0B" w:rsidRDefault="00662A0B" w:rsidP="00662A0B">
      <w:pPr>
        <w:pStyle w:val="155GB"/>
        <w:widowControl w:val="0"/>
        <w:adjustRightInd w:val="0"/>
        <w:snapToGrid w:val="0"/>
        <w:spacing w:line="600" w:lineRule="exact"/>
        <w:ind w:firstLine="620"/>
        <w:jc w:val="both"/>
      </w:pPr>
      <w:r>
        <w:rPr>
          <w:rFonts w:ascii="黑体" w:eastAsia="黑体" w:hAnsi="黑体" w:hint="eastAsia"/>
        </w:rPr>
        <w:t>第三条</w:t>
      </w:r>
      <w:r>
        <w:rPr>
          <w:rFonts w:hint="eastAsia"/>
        </w:rPr>
        <w:t xml:space="preserve">　县级以上人民政府应当明确本级政府机关事务主管部门，对机关事务实行统一管理，建立健全机关事务管理制度和标准，统筹配置资源。</w:t>
      </w:r>
    </w:p>
    <w:p w:rsidR="00662A0B" w:rsidRDefault="00662A0B" w:rsidP="00662A0B">
      <w:pPr>
        <w:pStyle w:val="155GB"/>
        <w:widowControl w:val="0"/>
        <w:adjustRightInd w:val="0"/>
        <w:snapToGrid w:val="0"/>
        <w:spacing w:line="600" w:lineRule="exact"/>
        <w:ind w:firstLine="620"/>
        <w:jc w:val="both"/>
      </w:pPr>
      <w:r>
        <w:rPr>
          <w:rFonts w:hint="eastAsia"/>
        </w:rPr>
        <w:t>政府各部门应当对本部门机关事务实行集中管理，执行机关事务管理制度和标准。在集中办公区办公的部门，办公用房、后勤服务等机关事务可以由本级政府机关事务主管部门或者政府明确的有关部门集中管理。</w:t>
      </w:r>
    </w:p>
    <w:p w:rsidR="00662A0B" w:rsidRDefault="00662A0B" w:rsidP="00662A0B">
      <w:pPr>
        <w:pStyle w:val="155GB"/>
        <w:widowControl w:val="0"/>
        <w:adjustRightInd w:val="0"/>
        <w:snapToGrid w:val="0"/>
        <w:spacing w:line="600" w:lineRule="exact"/>
        <w:ind w:firstLine="620"/>
        <w:jc w:val="both"/>
      </w:pPr>
      <w:r>
        <w:rPr>
          <w:rFonts w:ascii="黑体" w:eastAsia="黑体" w:hAnsi="黑体" w:hint="eastAsia"/>
        </w:rPr>
        <w:t>第四条</w:t>
      </w:r>
      <w:r>
        <w:rPr>
          <w:rFonts w:hint="eastAsia"/>
        </w:rPr>
        <w:t xml:space="preserve">　省人民政府机关事务主管部门负责拟订机关事务管理制度，指导全省机关事务工作，主管省本级机关事务工作。</w:t>
      </w:r>
    </w:p>
    <w:p w:rsidR="00662A0B" w:rsidRDefault="00662A0B" w:rsidP="00662A0B">
      <w:pPr>
        <w:pStyle w:val="155GB"/>
        <w:widowControl w:val="0"/>
        <w:adjustRightInd w:val="0"/>
        <w:snapToGrid w:val="0"/>
        <w:spacing w:line="600" w:lineRule="exact"/>
        <w:ind w:firstLine="620"/>
        <w:jc w:val="both"/>
      </w:pPr>
      <w:r>
        <w:rPr>
          <w:rFonts w:hint="eastAsia"/>
        </w:rPr>
        <w:t>市州、县市区人民政府机关事务主管部门主管本级机关事务工作，指导下级政府公务用车、公务接待、公共机构节约能源资源等</w:t>
      </w:r>
      <w:r>
        <w:rPr>
          <w:rFonts w:hint="eastAsia"/>
        </w:rPr>
        <w:lastRenderedPageBreak/>
        <w:t>工作。</w:t>
      </w:r>
    </w:p>
    <w:p w:rsidR="00662A0B" w:rsidRDefault="00662A0B" w:rsidP="00662A0B">
      <w:pPr>
        <w:pStyle w:val="155GB"/>
        <w:widowControl w:val="0"/>
        <w:adjustRightInd w:val="0"/>
        <w:snapToGrid w:val="0"/>
        <w:spacing w:line="600" w:lineRule="exact"/>
        <w:ind w:firstLine="620"/>
        <w:jc w:val="both"/>
      </w:pPr>
      <w:r>
        <w:rPr>
          <w:rFonts w:ascii="黑体" w:eastAsia="黑体" w:hAnsi="黑体" w:hint="eastAsia"/>
        </w:rPr>
        <w:t>第五条</w:t>
      </w:r>
      <w:r>
        <w:rPr>
          <w:rFonts w:hint="eastAsia"/>
        </w:rPr>
        <w:t xml:space="preserve">　县级以上人民政府应当建立健全节约型机关建设制度，开展绩效评估，推进节约型机关建设。</w:t>
      </w:r>
    </w:p>
    <w:p w:rsidR="00662A0B" w:rsidRDefault="00662A0B" w:rsidP="00662A0B">
      <w:pPr>
        <w:pStyle w:val="155GB"/>
        <w:widowControl w:val="0"/>
        <w:adjustRightInd w:val="0"/>
        <w:snapToGrid w:val="0"/>
        <w:spacing w:line="600" w:lineRule="exact"/>
        <w:ind w:firstLine="620"/>
        <w:jc w:val="both"/>
      </w:pPr>
      <w:r>
        <w:rPr>
          <w:rFonts w:hint="eastAsia"/>
        </w:rPr>
        <w:t>县级以上人民政府应当坚持机关后勤服务社会化改革方向，建立向社会力量购买服务机制，推进公务用车、物业管理服务和公务接待服务等方面的社会化改革。</w:t>
      </w:r>
      <w:r>
        <w:t xml:space="preserve"> </w:t>
      </w:r>
    </w:p>
    <w:p w:rsidR="00662A0B" w:rsidRPr="00662A0B" w:rsidRDefault="00662A0B" w:rsidP="00662A0B">
      <w:pPr>
        <w:pStyle w:val="2"/>
        <w:keepNext w:val="0"/>
        <w:keepLines w:val="0"/>
        <w:widowControl w:val="0"/>
        <w:spacing w:beforeLines="100" w:before="312" w:afterLines="100" w:after="312" w:line="600" w:lineRule="exact"/>
        <w:jc w:val="center"/>
        <w:rPr>
          <w:rFonts w:ascii="黑体" w:eastAsia="黑体" w:hAnsi="Arial" w:cs="Times New Roman"/>
          <w:b w:val="0"/>
        </w:rPr>
      </w:pPr>
      <w:r w:rsidRPr="00662A0B">
        <w:rPr>
          <w:rFonts w:ascii="黑体" w:eastAsia="黑体" w:hAnsi="Arial" w:cs="Times New Roman" w:hint="eastAsia"/>
          <w:b w:val="0"/>
        </w:rPr>
        <w:t>第二章　经费管理</w:t>
      </w:r>
    </w:p>
    <w:p w:rsidR="00662A0B" w:rsidRDefault="00662A0B" w:rsidP="00662A0B">
      <w:pPr>
        <w:pStyle w:val="155GB"/>
        <w:widowControl w:val="0"/>
        <w:adjustRightInd w:val="0"/>
        <w:snapToGrid w:val="0"/>
        <w:spacing w:line="600" w:lineRule="exact"/>
        <w:ind w:firstLine="620"/>
        <w:jc w:val="both"/>
      </w:pPr>
      <w:r>
        <w:rPr>
          <w:rFonts w:ascii="黑体" w:eastAsia="黑体" w:hAnsi="黑体" w:hint="eastAsia"/>
        </w:rPr>
        <w:t>第六条</w:t>
      </w:r>
      <w:r>
        <w:rPr>
          <w:rFonts w:hint="eastAsia"/>
        </w:rPr>
        <w:t xml:space="preserve">　各级人民政府和县级以上人民政府各部门应当加强机关经费预算管理，不得超预算或者无预算安排支出。</w:t>
      </w:r>
    </w:p>
    <w:p w:rsidR="00662A0B" w:rsidRDefault="00662A0B" w:rsidP="00662A0B">
      <w:pPr>
        <w:pStyle w:val="155GB"/>
        <w:widowControl w:val="0"/>
        <w:adjustRightInd w:val="0"/>
        <w:snapToGrid w:val="0"/>
        <w:spacing w:line="600" w:lineRule="exact"/>
        <w:ind w:firstLine="620"/>
        <w:jc w:val="both"/>
      </w:pPr>
      <w:r>
        <w:rPr>
          <w:rFonts w:ascii="黑体" w:eastAsia="黑体" w:hAnsi="黑体" w:hint="eastAsia"/>
        </w:rPr>
        <w:t>第七条</w:t>
      </w:r>
      <w:r>
        <w:rPr>
          <w:rFonts w:hint="eastAsia"/>
        </w:rPr>
        <w:t xml:space="preserve">　县级以上人民政府机关事务主管部门应当根据机关运行实际需要和建设节约型机关的要求，制定本级机关实物定额和服务标准。</w:t>
      </w:r>
    </w:p>
    <w:p w:rsidR="00662A0B" w:rsidRDefault="00662A0B" w:rsidP="00662A0B">
      <w:pPr>
        <w:pStyle w:val="155GB"/>
        <w:widowControl w:val="0"/>
        <w:adjustRightInd w:val="0"/>
        <w:snapToGrid w:val="0"/>
        <w:spacing w:line="600" w:lineRule="exact"/>
        <w:ind w:firstLine="620"/>
        <w:jc w:val="both"/>
      </w:pPr>
      <w:r>
        <w:rPr>
          <w:rFonts w:hint="eastAsia"/>
        </w:rPr>
        <w:t>县级以上人民政府财政部门应当根据实物定额和服务标准，参考有关货物和服务的市场价格，组织制定机关运行经费预算支出定额标准和有关开支标准。</w:t>
      </w:r>
    </w:p>
    <w:p w:rsidR="00662A0B" w:rsidRDefault="00662A0B" w:rsidP="00662A0B">
      <w:pPr>
        <w:pStyle w:val="155GB"/>
        <w:widowControl w:val="0"/>
        <w:adjustRightInd w:val="0"/>
        <w:snapToGrid w:val="0"/>
        <w:spacing w:line="600" w:lineRule="exact"/>
        <w:ind w:firstLine="620"/>
        <w:jc w:val="both"/>
      </w:pPr>
      <w:r>
        <w:rPr>
          <w:rFonts w:ascii="黑体" w:eastAsia="黑体" w:hAnsi="黑体" w:hint="eastAsia"/>
        </w:rPr>
        <w:t>第八条</w:t>
      </w:r>
      <w:r>
        <w:rPr>
          <w:rFonts w:hint="eastAsia"/>
        </w:rPr>
        <w:t xml:space="preserve">　由机关事务主管部门统一组织实施机关办公用房建设和维修、公务用车配备更新、公共机构节能、后勤服务等机关事务工作的，相关经费管理按照国家预算管理规定和省人民政府有关规定执行。</w:t>
      </w:r>
    </w:p>
    <w:p w:rsidR="00662A0B" w:rsidRDefault="00662A0B" w:rsidP="00662A0B">
      <w:pPr>
        <w:pStyle w:val="155GB"/>
        <w:widowControl w:val="0"/>
        <w:adjustRightInd w:val="0"/>
        <w:snapToGrid w:val="0"/>
        <w:spacing w:line="600" w:lineRule="exact"/>
        <w:ind w:firstLine="620"/>
        <w:jc w:val="both"/>
      </w:pPr>
      <w:r>
        <w:rPr>
          <w:rFonts w:ascii="黑体" w:eastAsia="黑体" w:hAnsi="黑体" w:hint="eastAsia"/>
        </w:rPr>
        <w:t>第九条</w:t>
      </w:r>
      <w:r>
        <w:rPr>
          <w:rFonts w:hint="eastAsia"/>
        </w:rPr>
        <w:t xml:space="preserve">　县级以上人民政府应当严格控制公务接待、公务用车购置和运行、因公出国（境）经费在机关运行经费预算总额中的规模和比例。各部门应当严格执行政府的规定，控制公务接待、公务</w:t>
      </w:r>
      <w:r>
        <w:rPr>
          <w:rFonts w:hint="eastAsia"/>
        </w:rPr>
        <w:lastRenderedPageBreak/>
        <w:t>用车购置和运行、因公出国（境）经费支出，并依法予以公开。</w:t>
      </w:r>
      <w:r>
        <w:t xml:space="preserve"> </w:t>
      </w:r>
    </w:p>
    <w:p w:rsidR="00662A0B" w:rsidRPr="00662A0B" w:rsidRDefault="00662A0B" w:rsidP="00662A0B">
      <w:pPr>
        <w:pStyle w:val="2"/>
        <w:keepNext w:val="0"/>
        <w:keepLines w:val="0"/>
        <w:widowControl w:val="0"/>
        <w:spacing w:beforeLines="100" w:before="312" w:afterLines="100" w:after="312" w:line="600" w:lineRule="exact"/>
        <w:jc w:val="center"/>
        <w:rPr>
          <w:rFonts w:ascii="黑体" w:eastAsia="黑体" w:hAnsi="Arial" w:cs="Times New Roman"/>
          <w:b w:val="0"/>
        </w:rPr>
      </w:pPr>
      <w:r w:rsidRPr="00662A0B">
        <w:rPr>
          <w:rFonts w:ascii="黑体" w:eastAsia="黑体" w:hAnsi="Arial" w:cs="Times New Roman" w:hint="eastAsia"/>
          <w:b w:val="0"/>
        </w:rPr>
        <w:t>第三章　资产管理</w:t>
      </w:r>
    </w:p>
    <w:p w:rsidR="00662A0B" w:rsidRDefault="00662A0B" w:rsidP="00662A0B">
      <w:pPr>
        <w:pStyle w:val="155GB"/>
        <w:widowControl w:val="0"/>
        <w:adjustRightInd w:val="0"/>
        <w:snapToGrid w:val="0"/>
        <w:spacing w:line="600" w:lineRule="exact"/>
        <w:ind w:firstLine="620"/>
        <w:jc w:val="both"/>
      </w:pPr>
      <w:r>
        <w:rPr>
          <w:rFonts w:ascii="黑体" w:eastAsia="黑体" w:hAnsi="黑体" w:hint="eastAsia"/>
        </w:rPr>
        <w:t>第十条</w:t>
      </w:r>
      <w:r>
        <w:rPr>
          <w:rFonts w:hint="eastAsia"/>
        </w:rPr>
        <w:t xml:space="preserve">　县级以上人民政府机关事务主管部门应当按照职责分工，研究制定和组织实施机关资产管理的具体制度，并接受财政、发展改革、自然资源等有关部门的指导和监督。</w:t>
      </w:r>
    </w:p>
    <w:p w:rsidR="00662A0B" w:rsidRDefault="00662A0B" w:rsidP="00662A0B">
      <w:pPr>
        <w:pStyle w:val="155GB"/>
        <w:widowControl w:val="0"/>
        <w:adjustRightInd w:val="0"/>
        <w:snapToGrid w:val="0"/>
        <w:spacing w:line="600" w:lineRule="exact"/>
        <w:ind w:firstLine="620"/>
        <w:jc w:val="both"/>
      </w:pPr>
      <w:r>
        <w:rPr>
          <w:rFonts w:ascii="黑体" w:eastAsia="黑体" w:hAnsi="黑体" w:hint="eastAsia"/>
        </w:rPr>
        <w:t>第十一条</w:t>
      </w:r>
      <w:r>
        <w:rPr>
          <w:rFonts w:hint="eastAsia"/>
        </w:rPr>
        <w:t xml:space="preserve">　政府各部门应当根据资产配置标准和资产存量状况，编制本机关年度资产配置计划报送财政部门，作为财政部门批准部门预算的依据。</w:t>
      </w:r>
    </w:p>
    <w:p w:rsidR="00662A0B" w:rsidRDefault="00662A0B" w:rsidP="00662A0B">
      <w:pPr>
        <w:pStyle w:val="155GB"/>
        <w:widowControl w:val="0"/>
        <w:adjustRightInd w:val="0"/>
        <w:snapToGrid w:val="0"/>
        <w:spacing w:line="600" w:lineRule="exact"/>
        <w:ind w:firstLine="620"/>
        <w:jc w:val="both"/>
      </w:pPr>
      <w:r>
        <w:rPr>
          <w:rFonts w:hint="eastAsia"/>
        </w:rPr>
        <w:t>县级以上人民政府应当逐步实行机关通用资产的统一配置。</w:t>
      </w:r>
    </w:p>
    <w:p w:rsidR="00662A0B" w:rsidRDefault="00662A0B" w:rsidP="00662A0B">
      <w:pPr>
        <w:pStyle w:val="155GB"/>
        <w:widowControl w:val="0"/>
        <w:adjustRightInd w:val="0"/>
        <w:snapToGrid w:val="0"/>
        <w:spacing w:line="600" w:lineRule="exact"/>
        <w:ind w:firstLine="620"/>
        <w:jc w:val="both"/>
        <w:rPr>
          <w:spacing w:val="-4"/>
        </w:rPr>
      </w:pPr>
      <w:r>
        <w:rPr>
          <w:rFonts w:ascii="黑体" w:eastAsia="黑体" w:hAnsi="黑体" w:hint="eastAsia"/>
        </w:rPr>
        <w:t>第十二条</w:t>
      </w:r>
      <w:r>
        <w:rPr>
          <w:rFonts w:hint="eastAsia"/>
        </w:rPr>
        <w:t xml:space="preserve">　政府各部门应当严格执行机关资产管理制度，加强</w:t>
      </w:r>
      <w:r>
        <w:rPr>
          <w:rFonts w:hint="eastAsia"/>
          <w:spacing w:val="-4"/>
        </w:rPr>
        <w:t>机关资产采购、入库登记、保管清查、领用交回等日常使用管理工作。</w:t>
      </w:r>
    </w:p>
    <w:p w:rsidR="00662A0B" w:rsidRDefault="00662A0B" w:rsidP="00662A0B">
      <w:pPr>
        <w:pStyle w:val="155GB"/>
        <w:widowControl w:val="0"/>
        <w:adjustRightInd w:val="0"/>
        <w:snapToGrid w:val="0"/>
        <w:spacing w:line="600" w:lineRule="exact"/>
        <w:ind w:firstLine="620"/>
        <w:jc w:val="both"/>
      </w:pPr>
      <w:r>
        <w:rPr>
          <w:rFonts w:ascii="黑体" w:eastAsia="黑体" w:hAnsi="黑体" w:hint="eastAsia"/>
        </w:rPr>
        <w:t>第十三条</w:t>
      </w:r>
      <w:r>
        <w:rPr>
          <w:rFonts w:hint="eastAsia"/>
        </w:rPr>
        <w:t xml:space="preserve">　县级以上人民政府应当建立健全闲置资产处置制度。各部门闲置和低效运转的机关资产，应当由本级政府统一调剂使用。不能调剂或者不能继续使用的，采取公开拍卖等方式处置，处置收益全额上缴国库。</w:t>
      </w:r>
    </w:p>
    <w:p w:rsidR="00662A0B" w:rsidRDefault="00662A0B" w:rsidP="00662A0B">
      <w:pPr>
        <w:pStyle w:val="155GB"/>
        <w:widowControl w:val="0"/>
        <w:adjustRightInd w:val="0"/>
        <w:snapToGrid w:val="0"/>
        <w:spacing w:line="600" w:lineRule="exact"/>
        <w:ind w:firstLine="620"/>
        <w:jc w:val="both"/>
      </w:pPr>
      <w:r>
        <w:rPr>
          <w:rFonts w:hint="eastAsia"/>
        </w:rPr>
        <w:t>调剂使用或者处置机关资产的，应当及时调整有关机关的资产账目。</w:t>
      </w:r>
    </w:p>
    <w:p w:rsidR="00662A0B" w:rsidRDefault="00662A0B" w:rsidP="00662A0B">
      <w:pPr>
        <w:pStyle w:val="155GB"/>
        <w:widowControl w:val="0"/>
        <w:adjustRightInd w:val="0"/>
        <w:snapToGrid w:val="0"/>
        <w:spacing w:line="600" w:lineRule="exact"/>
        <w:ind w:firstLine="620"/>
        <w:jc w:val="both"/>
      </w:pPr>
      <w:r>
        <w:rPr>
          <w:rFonts w:ascii="黑体" w:eastAsia="黑体" w:hAnsi="黑体" w:hint="eastAsia"/>
        </w:rPr>
        <w:t>第十四条</w:t>
      </w:r>
      <w:r>
        <w:rPr>
          <w:rFonts w:hint="eastAsia"/>
        </w:rPr>
        <w:t xml:space="preserve">　县级以上人民政府编制或者修订土地利用总体规划和城镇总体规划、详细规划，应当根据功能分区和集约节约利用土地的要求，统筹安排机关用地。</w:t>
      </w:r>
    </w:p>
    <w:p w:rsidR="00662A0B" w:rsidRDefault="00662A0B" w:rsidP="00662A0B">
      <w:pPr>
        <w:pStyle w:val="155GB"/>
        <w:widowControl w:val="0"/>
        <w:adjustRightInd w:val="0"/>
        <w:snapToGrid w:val="0"/>
        <w:spacing w:line="600" w:lineRule="exact"/>
        <w:ind w:firstLine="620"/>
        <w:jc w:val="both"/>
      </w:pPr>
      <w:r>
        <w:rPr>
          <w:rFonts w:ascii="黑体" w:eastAsia="黑体" w:hAnsi="黑体" w:hint="eastAsia"/>
        </w:rPr>
        <w:t>第十五条</w:t>
      </w:r>
      <w:r>
        <w:rPr>
          <w:rFonts w:hint="eastAsia"/>
        </w:rPr>
        <w:t xml:space="preserve">　县级以上人民政府应当严格执行机关办公用房建设和管理规定，严格控制办公用房面积和建设装修标准，公平配置和</w:t>
      </w:r>
      <w:r>
        <w:rPr>
          <w:rFonts w:hint="eastAsia"/>
        </w:rPr>
        <w:lastRenderedPageBreak/>
        <w:t>集约利用办公用房。</w:t>
      </w:r>
    </w:p>
    <w:p w:rsidR="00662A0B" w:rsidRDefault="00662A0B" w:rsidP="00662A0B">
      <w:pPr>
        <w:pStyle w:val="155GB"/>
        <w:widowControl w:val="0"/>
        <w:adjustRightInd w:val="0"/>
        <w:snapToGrid w:val="0"/>
        <w:spacing w:line="600" w:lineRule="exact"/>
        <w:ind w:firstLine="620"/>
        <w:jc w:val="both"/>
      </w:pPr>
      <w:r>
        <w:rPr>
          <w:rFonts w:ascii="黑体" w:eastAsia="黑体" w:hAnsi="黑体" w:hint="eastAsia"/>
        </w:rPr>
        <w:t>第十六条</w:t>
      </w:r>
      <w:r>
        <w:rPr>
          <w:rFonts w:hint="eastAsia"/>
        </w:rPr>
        <w:t xml:space="preserve">　政府各部门机关用地和办公用房由本级人民政府有关部门统一权属登记，实行统一的产权管理。</w:t>
      </w:r>
    </w:p>
    <w:p w:rsidR="00662A0B" w:rsidRDefault="00662A0B" w:rsidP="00662A0B">
      <w:pPr>
        <w:pStyle w:val="155GB"/>
        <w:widowControl w:val="0"/>
        <w:adjustRightInd w:val="0"/>
        <w:snapToGrid w:val="0"/>
        <w:spacing w:line="600" w:lineRule="exact"/>
        <w:ind w:firstLine="620"/>
        <w:jc w:val="both"/>
      </w:pPr>
      <w:r>
        <w:rPr>
          <w:rFonts w:ascii="黑体" w:eastAsia="黑体" w:hAnsi="黑体" w:hint="eastAsia"/>
        </w:rPr>
        <w:t>第十七条</w:t>
      </w:r>
      <w:r>
        <w:rPr>
          <w:rFonts w:hint="eastAsia"/>
        </w:rPr>
        <w:t xml:space="preserve">　政府各部门超过核定面积的办公用房，因新建、调整和机构撤销腾退的办公用房，应当移交本级人民政府机关事务主管部门用于统一调剂。</w:t>
      </w:r>
    </w:p>
    <w:p w:rsidR="00662A0B" w:rsidRDefault="00662A0B" w:rsidP="00662A0B">
      <w:pPr>
        <w:pStyle w:val="155GB"/>
        <w:widowControl w:val="0"/>
        <w:adjustRightInd w:val="0"/>
        <w:snapToGrid w:val="0"/>
        <w:spacing w:line="600" w:lineRule="exact"/>
        <w:ind w:firstLine="620"/>
        <w:jc w:val="both"/>
      </w:pPr>
      <w:r>
        <w:rPr>
          <w:rFonts w:hint="eastAsia"/>
        </w:rPr>
        <w:t>政府各部门因机构增设、职能调整等确需增加办公用房的，由机关事务主管部门调剂解决；无法调剂确需租用办公用房的，应当报经本级人民政府批准。</w:t>
      </w:r>
    </w:p>
    <w:p w:rsidR="00662A0B" w:rsidRDefault="00662A0B" w:rsidP="00662A0B">
      <w:pPr>
        <w:pStyle w:val="155GB"/>
        <w:widowControl w:val="0"/>
        <w:adjustRightInd w:val="0"/>
        <w:snapToGrid w:val="0"/>
        <w:spacing w:line="600" w:lineRule="exact"/>
        <w:ind w:firstLine="620"/>
        <w:jc w:val="both"/>
      </w:pPr>
      <w:r>
        <w:rPr>
          <w:rFonts w:ascii="黑体" w:eastAsia="黑体" w:hAnsi="黑体" w:hint="eastAsia"/>
        </w:rPr>
        <w:t>第十八条</w:t>
      </w:r>
      <w:r>
        <w:rPr>
          <w:rFonts w:hint="eastAsia"/>
        </w:rPr>
        <w:t xml:space="preserve">　县级以上人民政府机关事务主管部门应当会同财政等有关部门编制办公用房大中型维修计划，报本级人民政府批准。纳入计划的维修项目，列入财政预算组织维修。</w:t>
      </w:r>
    </w:p>
    <w:p w:rsidR="00662A0B" w:rsidRDefault="00662A0B" w:rsidP="00662A0B">
      <w:pPr>
        <w:pStyle w:val="155GB"/>
        <w:widowControl w:val="0"/>
        <w:adjustRightInd w:val="0"/>
        <w:snapToGrid w:val="0"/>
        <w:spacing w:line="600" w:lineRule="exact"/>
        <w:ind w:firstLine="620"/>
        <w:jc w:val="both"/>
      </w:pPr>
      <w:r>
        <w:rPr>
          <w:rFonts w:hint="eastAsia"/>
        </w:rPr>
        <w:t>办公用房的日常维护维修由使用机关负责。</w:t>
      </w:r>
    </w:p>
    <w:p w:rsidR="00662A0B" w:rsidRDefault="00662A0B" w:rsidP="00662A0B">
      <w:pPr>
        <w:pStyle w:val="155GB"/>
        <w:widowControl w:val="0"/>
        <w:adjustRightInd w:val="0"/>
        <w:snapToGrid w:val="0"/>
        <w:spacing w:line="600" w:lineRule="exact"/>
        <w:ind w:firstLine="620"/>
        <w:jc w:val="both"/>
      </w:pPr>
      <w:r>
        <w:rPr>
          <w:rFonts w:ascii="黑体" w:eastAsia="黑体" w:hAnsi="黑体" w:hint="eastAsia"/>
        </w:rPr>
        <w:t>第十九条</w:t>
      </w:r>
      <w:r>
        <w:rPr>
          <w:rFonts w:hint="eastAsia"/>
        </w:rPr>
        <w:t xml:space="preserve">　省人民政府机关事务主管部门会同财政等有关部门根据国家公务用车改革和配备使用规定，拟订公务用车配备使用管理办法报省人民政府批准，并负责省本级公务用车编制、配备、更新、处置等管理工作，指导和监督市州公务用车管理工作。</w:t>
      </w:r>
    </w:p>
    <w:p w:rsidR="00662A0B" w:rsidRDefault="00662A0B" w:rsidP="00662A0B">
      <w:pPr>
        <w:pStyle w:val="155GB"/>
        <w:widowControl w:val="0"/>
        <w:adjustRightInd w:val="0"/>
        <w:snapToGrid w:val="0"/>
        <w:spacing w:line="600" w:lineRule="exact"/>
        <w:ind w:firstLine="620"/>
        <w:jc w:val="both"/>
      </w:pPr>
      <w:r>
        <w:rPr>
          <w:rFonts w:hint="eastAsia"/>
        </w:rPr>
        <w:t>市州、县市区人民政府公务用车主管部门负责本级政府公务用车管理工作，指导和监督下级政府公务用车管理工作。</w:t>
      </w:r>
    </w:p>
    <w:p w:rsidR="00662A0B" w:rsidRDefault="00662A0B" w:rsidP="00662A0B">
      <w:pPr>
        <w:pStyle w:val="155GB"/>
        <w:widowControl w:val="0"/>
        <w:adjustRightInd w:val="0"/>
        <w:snapToGrid w:val="0"/>
        <w:spacing w:line="600" w:lineRule="exact"/>
        <w:ind w:firstLine="620"/>
        <w:jc w:val="both"/>
      </w:pPr>
      <w:r>
        <w:rPr>
          <w:rFonts w:hint="eastAsia"/>
        </w:rPr>
        <w:t>执法执勤类公务用车编制、配备、更新、处置等管理工作具体规定由省人民政府财政部门会同有关部门制定。</w:t>
      </w:r>
    </w:p>
    <w:p w:rsidR="00662A0B" w:rsidRDefault="00662A0B" w:rsidP="00662A0B">
      <w:pPr>
        <w:pStyle w:val="155GB"/>
        <w:widowControl w:val="0"/>
        <w:adjustRightInd w:val="0"/>
        <w:snapToGrid w:val="0"/>
        <w:spacing w:line="600" w:lineRule="exact"/>
        <w:ind w:firstLine="620"/>
        <w:jc w:val="both"/>
      </w:pPr>
      <w:r>
        <w:rPr>
          <w:rFonts w:ascii="黑体" w:eastAsia="黑体" w:hAnsi="黑体" w:hint="eastAsia"/>
        </w:rPr>
        <w:t>第二十条</w:t>
      </w:r>
      <w:r>
        <w:rPr>
          <w:rFonts w:hint="eastAsia"/>
        </w:rPr>
        <w:t xml:space="preserve">　政府各部门应当严格执行公务用车配备使用管理制度，加强公务用车日常管理，不得超标准、超编制配备、更新公务</w:t>
      </w:r>
      <w:r>
        <w:rPr>
          <w:rFonts w:hint="eastAsia"/>
        </w:rPr>
        <w:lastRenderedPageBreak/>
        <w:t>用车。</w:t>
      </w:r>
      <w:r>
        <w:t xml:space="preserve"> </w:t>
      </w:r>
    </w:p>
    <w:p w:rsidR="00662A0B" w:rsidRPr="00662A0B" w:rsidRDefault="00662A0B" w:rsidP="00662A0B">
      <w:pPr>
        <w:pStyle w:val="2"/>
        <w:keepNext w:val="0"/>
        <w:keepLines w:val="0"/>
        <w:widowControl w:val="0"/>
        <w:spacing w:beforeLines="100" w:before="312" w:afterLines="100" w:after="312" w:line="600" w:lineRule="exact"/>
        <w:jc w:val="center"/>
        <w:rPr>
          <w:rFonts w:ascii="黑体" w:eastAsia="黑体" w:hAnsi="Arial" w:cs="Times New Roman"/>
          <w:b w:val="0"/>
        </w:rPr>
      </w:pPr>
      <w:r w:rsidRPr="00662A0B">
        <w:rPr>
          <w:rFonts w:ascii="黑体" w:eastAsia="黑体" w:hAnsi="Arial" w:cs="Times New Roman" w:hint="eastAsia"/>
          <w:b w:val="0"/>
        </w:rPr>
        <w:t>第四章　服务管理</w:t>
      </w:r>
    </w:p>
    <w:p w:rsidR="00662A0B" w:rsidRDefault="00662A0B" w:rsidP="00662A0B">
      <w:pPr>
        <w:pStyle w:val="155GB"/>
        <w:widowControl w:val="0"/>
        <w:adjustRightInd w:val="0"/>
        <w:snapToGrid w:val="0"/>
        <w:spacing w:line="600" w:lineRule="exact"/>
        <w:ind w:firstLine="620"/>
        <w:jc w:val="both"/>
      </w:pPr>
      <w:r>
        <w:rPr>
          <w:rFonts w:ascii="黑体" w:eastAsia="黑体" w:hAnsi="黑体" w:hint="eastAsia"/>
        </w:rPr>
        <w:t>第二十一条</w:t>
      </w:r>
      <w:r>
        <w:rPr>
          <w:rFonts w:hint="eastAsia"/>
        </w:rPr>
        <w:t xml:space="preserve">　县级以上人民政府机关事务主管部门应当制定本级机关后勤服务管理制度，确定机关后勤服务项目和标准，加强对各部门机关后勤服务工作的指导和监督，合理配置和节约使用后勤服务资源。</w:t>
      </w:r>
    </w:p>
    <w:p w:rsidR="00662A0B" w:rsidRDefault="00662A0B" w:rsidP="00662A0B">
      <w:pPr>
        <w:pStyle w:val="155GB"/>
        <w:widowControl w:val="0"/>
        <w:adjustRightInd w:val="0"/>
        <w:snapToGrid w:val="0"/>
        <w:spacing w:line="600" w:lineRule="exact"/>
        <w:ind w:firstLine="620"/>
        <w:jc w:val="both"/>
      </w:pPr>
      <w:r>
        <w:rPr>
          <w:rFonts w:hint="eastAsia"/>
        </w:rPr>
        <w:t>政府各部门应当严格执行机关后勤服务管理制度，规范后勤服务工作，不得超出规定的项目和标准提供后勤服务。</w:t>
      </w:r>
    </w:p>
    <w:p w:rsidR="00662A0B" w:rsidRDefault="00662A0B" w:rsidP="00662A0B">
      <w:pPr>
        <w:pStyle w:val="155GB"/>
        <w:widowControl w:val="0"/>
        <w:adjustRightInd w:val="0"/>
        <w:snapToGrid w:val="0"/>
        <w:spacing w:line="600" w:lineRule="exact"/>
        <w:ind w:firstLine="620"/>
        <w:jc w:val="both"/>
      </w:pPr>
      <w:r>
        <w:rPr>
          <w:rFonts w:ascii="黑体" w:eastAsia="黑体" w:hAnsi="黑体" w:hint="eastAsia"/>
        </w:rPr>
        <w:t>第二十二条</w:t>
      </w:r>
      <w:r>
        <w:rPr>
          <w:rFonts w:hint="eastAsia"/>
        </w:rPr>
        <w:t xml:space="preserve">　县级以上人民政府应当建立健全公共机构节约能源资源管理制度，推动公共机构节能工作。</w:t>
      </w:r>
    </w:p>
    <w:p w:rsidR="00662A0B" w:rsidRDefault="00662A0B" w:rsidP="00662A0B">
      <w:pPr>
        <w:pStyle w:val="155GB"/>
        <w:widowControl w:val="0"/>
        <w:adjustRightInd w:val="0"/>
        <w:snapToGrid w:val="0"/>
        <w:spacing w:line="600" w:lineRule="exact"/>
        <w:ind w:firstLine="620"/>
        <w:jc w:val="both"/>
      </w:pPr>
      <w:r>
        <w:rPr>
          <w:rFonts w:hint="eastAsia"/>
        </w:rPr>
        <w:t>县级以上人民政府机关事务主管部门在同级节能工作主管部门指导下，负责本级公共机构节能监督管理工作，推进、指导和监督下级公共机构节能工作。</w:t>
      </w:r>
    </w:p>
    <w:p w:rsidR="00662A0B" w:rsidRDefault="00662A0B" w:rsidP="00662A0B">
      <w:pPr>
        <w:pStyle w:val="155GB"/>
        <w:widowControl w:val="0"/>
        <w:adjustRightInd w:val="0"/>
        <w:snapToGrid w:val="0"/>
        <w:spacing w:line="600" w:lineRule="exact"/>
        <w:ind w:firstLine="620"/>
        <w:jc w:val="both"/>
      </w:pPr>
      <w:r>
        <w:rPr>
          <w:rFonts w:ascii="黑体" w:eastAsia="黑体" w:hAnsi="黑体" w:hint="eastAsia"/>
        </w:rPr>
        <w:t>第二十三条</w:t>
      </w:r>
      <w:r>
        <w:rPr>
          <w:rFonts w:hint="eastAsia"/>
        </w:rPr>
        <w:t xml:space="preserve">　县级以上人民政府机关事务主管部门应当会同节能工作主管部门和其他有关部门制定本级公共机构节能规划和能源资源消费定额，并实行目标管理考核。</w:t>
      </w:r>
    </w:p>
    <w:p w:rsidR="00662A0B" w:rsidRDefault="00662A0B" w:rsidP="00662A0B">
      <w:pPr>
        <w:pStyle w:val="155GB"/>
        <w:widowControl w:val="0"/>
        <w:adjustRightInd w:val="0"/>
        <w:snapToGrid w:val="0"/>
        <w:spacing w:line="600" w:lineRule="exact"/>
        <w:ind w:firstLine="620"/>
        <w:jc w:val="both"/>
      </w:pPr>
      <w:r>
        <w:rPr>
          <w:rFonts w:hint="eastAsia"/>
        </w:rPr>
        <w:t>政府各部门应当加强节能管理和能源资源消费统计，推广应用节能新产品、新技术，淘汰高能耗设施设备，提高能源资源利用效益。</w:t>
      </w:r>
    </w:p>
    <w:p w:rsidR="00662A0B" w:rsidRDefault="00662A0B" w:rsidP="00662A0B">
      <w:pPr>
        <w:pStyle w:val="155GB"/>
        <w:widowControl w:val="0"/>
        <w:adjustRightInd w:val="0"/>
        <w:snapToGrid w:val="0"/>
        <w:spacing w:line="600" w:lineRule="exact"/>
        <w:ind w:firstLine="620"/>
        <w:jc w:val="both"/>
      </w:pPr>
      <w:r>
        <w:rPr>
          <w:rFonts w:ascii="黑体" w:eastAsia="黑体" w:hAnsi="黑体" w:hint="eastAsia"/>
        </w:rPr>
        <w:t>第二十四条</w:t>
      </w:r>
      <w:r>
        <w:rPr>
          <w:rFonts w:hint="eastAsia"/>
        </w:rPr>
        <w:t xml:space="preserve">　各级人民政府和县级以上人民政府各部门应当严格执行《党政机关国内公务接待管理规定》规定的公务接待范围和开支标准，不得超范围接待、超标准开支。</w:t>
      </w:r>
    </w:p>
    <w:p w:rsidR="00662A0B" w:rsidRDefault="00662A0B" w:rsidP="00662A0B">
      <w:pPr>
        <w:pStyle w:val="155GB"/>
        <w:widowControl w:val="0"/>
        <w:adjustRightInd w:val="0"/>
        <w:snapToGrid w:val="0"/>
        <w:spacing w:line="600" w:lineRule="exact"/>
        <w:ind w:firstLine="620"/>
        <w:jc w:val="both"/>
      </w:pPr>
      <w:r>
        <w:rPr>
          <w:rFonts w:ascii="黑体" w:eastAsia="黑体" w:hAnsi="黑体" w:hint="eastAsia"/>
        </w:rPr>
        <w:lastRenderedPageBreak/>
        <w:t>第二十五条</w:t>
      </w:r>
      <w:r>
        <w:rPr>
          <w:rFonts w:hint="eastAsia"/>
        </w:rPr>
        <w:t xml:space="preserve">　各级人民政府和县级以上人民政府各部门应当加强会议管理，严格控制会议数量、会期和规模，严格执行会议费开支范围和标准。应当充分利用机关内部场所和电视电话、网络视频等方式召开会议，节约会议开支。</w:t>
      </w:r>
    </w:p>
    <w:p w:rsidR="00662A0B" w:rsidRDefault="00662A0B" w:rsidP="00662A0B">
      <w:pPr>
        <w:pStyle w:val="155GB"/>
        <w:widowControl w:val="0"/>
        <w:adjustRightInd w:val="0"/>
        <w:snapToGrid w:val="0"/>
        <w:spacing w:line="600" w:lineRule="exact"/>
        <w:ind w:firstLine="620"/>
        <w:jc w:val="both"/>
      </w:pPr>
      <w:r>
        <w:rPr>
          <w:rFonts w:hint="eastAsia"/>
        </w:rPr>
        <w:t>各级人民政府和县级以上人民政府各部门应当严格执行国内差旅管理规定，从严控制差旅人数和天数，不得进行无明确公务目的的差旅活动，不得以公务差旅为名变相旅游，不得进行无实质内容的学习交流和考察调研。</w:t>
      </w:r>
    </w:p>
    <w:p w:rsidR="00662A0B" w:rsidRDefault="00662A0B" w:rsidP="00662A0B">
      <w:pPr>
        <w:pStyle w:val="155GB"/>
        <w:widowControl w:val="0"/>
        <w:adjustRightInd w:val="0"/>
        <w:snapToGrid w:val="0"/>
        <w:spacing w:line="600" w:lineRule="exact"/>
        <w:ind w:firstLine="620"/>
        <w:jc w:val="both"/>
      </w:pPr>
      <w:r>
        <w:rPr>
          <w:rFonts w:hint="eastAsia"/>
        </w:rPr>
        <w:t>各级人民政府和县级以上人民政府各部门应当严格执行因公出国（境）管理规定，从严控制因公出国（境）团组和人员数量、在国（境）外停留时间，不得安排与本单位业务工作无关的考察和培训。</w:t>
      </w:r>
    </w:p>
    <w:p w:rsidR="00662A0B" w:rsidRDefault="00662A0B" w:rsidP="00662A0B">
      <w:pPr>
        <w:pStyle w:val="155GB"/>
        <w:widowControl w:val="0"/>
        <w:adjustRightInd w:val="0"/>
        <w:snapToGrid w:val="0"/>
        <w:spacing w:line="600" w:lineRule="exact"/>
        <w:ind w:firstLine="620"/>
        <w:jc w:val="both"/>
      </w:pPr>
      <w:r>
        <w:rPr>
          <w:rFonts w:ascii="黑体" w:eastAsia="黑体" w:hAnsi="黑体" w:hint="eastAsia"/>
        </w:rPr>
        <w:t>第二十六条</w:t>
      </w:r>
      <w:r>
        <w:rPr>
          <w:rFonts w:hint="eastAsia"/>
        </w:rPr>
        <w:t xml:space="preserve">　县级以上人民政府机关事务主管部门负责研究制定本级机关物业服务管理的具体制度，指导和监督本级机关的物业服务管理工作。政府各部门应当严格执行机关物业服务管理制度。</w:t>
      </w:r>
      <w:r>
        <w:t xml:space="preserve"> </w:t>
      </w:r>
    </w:p>
    <w:p w:rsidR="00662A0B" w:rsidRPr="00662A0B" w:rsidRDefault="00662A0B" w:rsidP="00662A0B">
      <w:pPr>
        <w:pStyle w:val="2"/>
        <w:keepNext w:val="0"/>
        <w:keepLines w:val="0"/>
        <w:widowControl w:val="0"/>
        <w:spacing w:beforeLines="100" w:before="312" w:afterLines="100" w:after="312" w:line="600" w:lineRule="exact"/>
        <w:jc w:val="center"/>
        <w:rPr>
          <w:rFonts w:ascii="黑体" w:eastAsia="黑体" w:hAnsi="Arial" w:cs="Times New Roman"/>
          <w:b w:val="0"/>
        </w:rPr>
      </w:pPr>
      <w:r w:rsidRPr="00662A0B">
        <w:rPr>
          <w:rFonts w:ascii="黑体" w:eastAsia="黑体" w:hAnsi="Arial" w:cs="Times New Roman" w:hint="eastAsia"/>
          <w:b w:val="0"/>
        </w:rPr>
        <w:t>第五章　监督检查</w:t>
      </w:r>
    </w:p>
    <w:p w:rsidR="00662A0B" w:rsidRDefault="00662A0B" w:rsidP="00662A0B">
      <w:pPr>
        <w:pStyle w:val="155GB"/>
        <w:widowControl w:val="0"/>
        <w:adjustRightInd w:val="0"/>
        <w:snapToGrid w:val="0"/>
        <w:spacing w:line="600" w:lineRule="exact"/>
        <w:ind w:firstLine="620"/>
        <w:jc w:val="both"/>
      </w:pPr>
      <w:r>
        <w:rPr>
          <w:rFonts w:ascii="黑体" w:eastAsia="黑体" w:hAnsi="黑体" w:hint="eastAsia"/>
        </w:rPr>
        <w:t>第二十七条</w:t>
      </w:r>
      <w:r>
        <w:rPr>
          <w:rFonts w:hint="eastAsia"/>
        </w:rPr>
        <w:t xml:space="preserve">　县级以上人民政府应当建立健全机关事务工作监督检查机制，加强对本级各部门和下级政府执行机关事务管理制度情况的监督检查，及时纠正违法违纪行为。</w:t>
      </w:r>
    </w:p>
    <w:p w:rsidR="00662A0B" w:rsidRDefault="00662A0B" w:rsidP="00662A0B">
      <w:pPr>
        <w:pStyle w:val="155GB"/>
        <w:widowControl w:val="0"/>
        <w:adjustRightInd w:val="0"/>
        <w:snapToGrid w:val="0"/>
        <w:spacing w:line="600" w:lineRule="exact"/>
        <w:ind w:firstLine="620"/>
        <w:jc w:val="both"/>
      </w:pPr>
      <w:r>
        <w:rPr>
          <w:rFonts w:ascii="黑体" w:eastAsia="黑体" w:hAnsi="黑体" w:hint="eastAsia"/>
        </w:rPr>
        <w:t>第二十八条</w:t>
      </w:r>
      <w:r>
        <w:rPr>
          <w:rFonts w:hint="eastAsia"/>
        </w:rPr>
        <w:t xml:space="preserve">　县级以上人民政府财政、机关事务主管等部门应当严格依法履行职责。经费预算、资产配置、后勤服务等机关事务管理活动应当做到公开、公平、公正和及时、高效，并通过政务内</w:t>
      </w:r>
      <w:r>
        <w:rPr>
          <w:rFonts w:hint="eastAsia"/>
        </w:rPr>
        <w:lastRenderedPageBreak/>
        <w:t>网定期公布有关信息，接受各部门查询和监督。</w:t>
      </w:r>
    </w:p>
    <w:p w:rsidR="00662A0B" w:rsidRDefault="00662A0B" w:rsidP="00662A0B">
      <w:pPr>
        <w:pStyle w:val="155GB"/>
        <w:widowControl w:val="0"/>
        <w:adjustRightInd w:val="0"/>
        <w:snapToGrid w:val="0"/>
        <w:spacing w:line="600" w:lineRule="exact"/>
        <w:ind w:firstLine="620"/>
        <w:jc w:val="both"/>
      </w:pPr>
      <w:r>
        <w:rPr>
          <w:rFonts w:ascii="黑体" w:eastAsia="黑体" w:hAnsi="黑体" w:hint="eastAsia"/>
        </w:rPr>
        <w:t>第二十九条</w:t>
      </w:r>
      <w:r>
        <w:rPr>
          <w:rFonts w:hint="eastAsia"/>
        </w:rPr>
        <w:t xml:space="preserve">　违反本办法规定，有下列情形之一的，由上级机关责令改正，并由有权机关对直接负责的主管人员和其他直接责任人员依法给予处分；构成犯罪的，依法追究刑事责任：</w:t>
      </w:r>
    </w:p>
    <w:p w:rsidR="00662A0B" w:rsidRDefault="00662A0B" w:rsidP="00662A0B">
      <w:pPr>
        <w:pStyle w:val="155GB"/>
        <w:widowControl w:val="0"/>
        <w:adjustRightInd w:val="0"/>
        <w:snapToGrid w:val="0"/>
        <w:spacing w:line="600" w:lineRule="exact"/>
        <w:ind w:firstLine="620"/>
        <w:jc w:val="both"/>
      </w:pPr>
      <w:r>
        <w:rPr>
          <w:rFonts w:hint="eastAsia"/>
        </w:rPr>
        <w:t>（一）超标准占用办公用房的；</w:t>
      </w:r>
    </w:p>
    <w:p w:rsidR="00662A0B" w:rsidRDefault="00662A0B" w:rsidP="00662A0B">
      <w:pPr>
        <w:pStyle w:val="155GB"/>
        <w:widowControl w:val="0"/>
        <w:adjustRightInd w:val="0"/>
        <w:snapToGrid w:val="0"/>
        <w:spacing w:line="600" w:lineRule="exact"/>
        <w:ind w:firstLine="620"/>
        <w:jc w:val="both"/>
      </w:pPr>
      <w:r>
        <w:rPr>
          <w:rFonts w:hint="eastAsia"/>
        </w:rPr>
        <w:t>（二）超标准配备办公设备、办公用品、办公家具等实物的；</w:t>
      </w:r>
    </w:p>
    <w:p w:rsidR="00662A0B" w:rsidRDefault="00662A0B" w:rsidP="00662A0B">
      <w:pPr>
        <w:pStyle w:val="155GB"/>
        <w:widowControl w:val="0"/>
        <w:adjustRightInd w:val="0"/>
        <w:snapToGrid w:val="0"/>
        <w:spacing w:line="600" w:lineRule="exact"/>
        <w:ind w:firstLine="620"/>
        <w:jc w:val="both"/>
      </w:pPr>
      <w:r>
        <w:rPr>
          <w:rFonts w:hint="eastAsia"/>
        </w:rPr>
        <w:t>（三）以公务差旅为名变相旅游的。</w:t>
      </w:r>
    </w:p>
    <w:p w:rsidR="00662A0B" w:rsidRDefault="00662A0B" w:rsidP="00662A0B">
      <w:pPr>
        <w:pStyle w:val="155GB"/>
        <w:widowControl w:val="0"/>
        <w:adjustRightInd w:val="0"/>
        <w:snapToGrid w:val="0"/>
        <w:spacing w:line="600" w:lineRule="exact"/>
        <w:ind w:firstLine="620"/>
        <w:jc w:val="both"/>
      </w:pPr>
      <w:r>
        <w:rPr>
          <w:rFonts w:ascii="黑体" w:eastAsia="黑体" w:hAnsi="黑体" w:hint="eastAsia"/>
        </w:rPr>
        <w:t>第三十条</w:t>
      </w:r>
      <w:r>
        <w:rPr>
          <w:rFonts w:hint="eastAsia"/>
        </w:rPr>
        <w:t xml:space="preserve">　县级以上人民政府财政、机关事务主管等部门违反本办法规定，有下列行为之一的，由上级机关责令改正，并由有权机关对直接负责的主管人员和其他直接责任人员依法给予处分；构成犯罪的，依法追究刑事责任：</w:t>
      </w:r>
    </w:p>
    <w:p w:rsidR="00662A0B" w:rsidRDefault="00662A0B" w:rsidP="00662A0B">
      <w:pPr>
        <w:pStyle w:val="155GB"/>
        <w:widowControl w:val="0"/>
        <w:adjustRightInd w:val="0"/>
        <w:snapToGrid w:val="0"/>
        <w:spacing w:line="600" w:lineRule="exact"/>
        <w:ind w:firstLine="620"/>
        <w:jc w:val="both"/>
      </w:pPr>
      <w:r>
        <w:rPr>
          <w:rFonts w:hint="eastAsia"/>
        </w:rPr>
        <w:t>（一）违法批准配置、占用实物，违法批准处置资产，导致国有资产严重损失的；</w:t>
      </w:r>
    </w:p>
    <w:p w:rsidR="00662A0B" w:rsidRDefault="00662A0B" w:rsidP="00662A0B">
      <w:pPr>
        <w:pStyle w:val="155GB"/>
        <w:widowControl w:val="0"/>
        <w:adjustRightInd w:val="0"/>
        <w:snapToGrid w:val="0"/>
        <w:spacing w:line="600" w:lineRule="exact"/>
        <w:ind w:firstLine="620"/>
        <w:jc w:val="both"/>
      </w:pPr>
      <w:r>
        <w:rPr>
          <w:rFonts w:hint="eastAsia"/>
        </w:rPr>
        <w:t>（二）怠于履行监督管理职责，对违反机关事务管理规定的行为不依法纠正的；</w:t>
      </w:r>
    </w:p>
    <w:p w:rsidR="00662A0B" w:rsidRDefault="00662A0B" w:rsidP="00662A0B">
      <w:pPr>
        <w:pStyle w:val="155GB"/>
        <w:widowControl w:val="0"/>
        <w:adjustRightInd w:val="0"/>
        <w:snapToGrid w:val="0"/>
        <w:spacing w:line="600" w:lineRule="exact"/>
        <w:ind w:firstLine="620"/>
        <w:jc w:val="both"/>
      </w:pPr>
      <w:r>
        <w:rPr>
          <w:rFonts w:hint="eastAsia"/>
        </w:rPr>
        <w:t>（三）无故拖延或者不履行有关审批、资产配置或者更新、服务保障等职责，严重影响其他部门工作的；</w:t>
      </w:r>
    </w:p>
    <w:p w:rsidR="00662A0B" w:rsidRDefault="00662A0B" w:rsidP="00662A0B">
      <w:pPr>
        <w:pStyle w:val="155GB"/>
        <w:widowControl w:val="0"/>
        <w:adjustRightInd w:val="0"/>
        <w:snapToGrid w:val="0"/>
        <w:spacing w:line="600" w:lineRule="exact"/>
        <w:ind w:firstLine="620"/>
        <w:jc w:val="both"/>
      </w:pPr>
      <w:r>
        <w:rPr>
          <w:rFonts w:hint="eastAsia"/>
        </w:rPr>
        <w:t>（四）其他玩忽职守、徇私舞弊、滥用职权的行为。</w:t>
      </w:r>
      <w:r>
        <w:t xml:space="preserve"> </w:t>
      </w:r>
    </w:p>
    <w:p w:rsidR="00662A0B" w:rsidRPr="00662A0B" w:rsidRDefault="00662A0B" w:rsidP="00662A0B">
      <w:pPr>
        <w:pStyle w:val="2"/>
        <w:keepNext w:val="0"/>
        <w:keepLines w:val="0"/>
        <w:widowControl w:val="0"/>
        <w:spacing w:beforeLines="100" w:before="312" w:afterLines="100" w:after="312" w:line="600" w:lineRule="exact"/>
        <w:jc w:val="center"/>
        <w:rPr>
          <w:rFonts w:ascii="黑体" w:eastAsia="黑体" w:hAnsi="Arial" w:cs="Times New Roman"/>
          <w:b w:val="0"/>
        </w:rPr>
      </w:pPr>
      <w:r w:rsidRPr="00662A0B">
        <w:rPr>
          <w:rFonts w:ascii="黑体" w:eastAsia="黑体" w:hAnsi="Arial" w:cs="Times New Roman" w:hint="eastAsia"/>
          <w:b w:val="0"/>
        </w:rPr>
        <w:t>第六章　附　则</w:t>
      </w:r>
    </w:p>
    <w:p w:rsidR="00662A0B" w:rsidRDefault="00662A0B" w:rsidP="00662A0B">
      <w:pPr>
        <w:pStyle w:val="155GB"/>
        <w:widowControl w:val="0"/>
        <w:adjustRightInd w:val="0"/>
        <w:snapToGrid w:val="0"/>
        <w:spacing w:line="600" w:lineRule="exact"/>
        <w:ind w:firstLine="620"/>
        <w:jc w:val="both"/>
      </w:pPr>
      <w:r>
        <w:rPr>
          <w:rFonts w:ascii="黑体" w:eastAsia="黑体" w:hAnsi="黑体" w:hint="eastAsia"/>
        </w:rPr>
        <w:t>第三十一条</w:t>
      </w:r>
      <w:r>
        <w:rPr>
          <w:rFonts w:hint="eastAsia"/>
        </w:rPr>
        <w:t xml:space="preserve">　本省其他国家机关、有关人民团体的机关事务管理活动参照本办法执行。</w:t>
      </w:r>
    </w:p>
    <w:p w:rsidR="004B7E2B" w:rsidRPr="00662A0B" w:rsidRDefault="00662A0B" w:rsidP="00662A0B">
      <w:pPr>
        <w:pStyle w:val="155GB"/>
        <w:widowControl w:val="0"/>
        <w:adjustRightInd w:val="0"/>
        <w:snapToGrid w:val="0"/>
        <w:spacing w:line="600" w:lineRule="exact"/>
        <w:ind w:firstLine="620"/>
        <w:jc w:val="both"/>
        <w:rPr>
          <w:rFonts w:hint="eastAsia"/>
        </w:rPr>
      </w:pPr>
      <w:r>
        <w:rPr>
          <w:rFonts w:ascii="黑体" w:eastAsia="黑体" w:hAnsi="黑体" w:hint="eastAsia"/>
        </w:rPr>
        <w:t>第三十二条</w:t>
      </w:r>
      <w:r>
        <w:rPr>
          <w:rFonts w:hint="eastAsia"/>
        </w:rPr>
        <w:t xml:space="preserve">　本办法自</w:t>
      </w:r>
      <w:r>
        <w:t>2015</w:t>
      </w:r>
      <w:r>
        <w:rPr>
          <w:rFonts w:hint="eastAsia"/>
        </w:rPr>
        <w:t>年</w:t>
      </w:r>
      <w:r>
        <w:t>3</w:t>
      </w:r>
      <w:r>
        <w:rPr>
          <w:rFonts w:hint="eastAsia"/>
        </w:rPr>
        <w:t>月</w:t>
      </w:r>
      <w:r>
        <w:t>1</w:t>
      </w:r>
      <w:r>
        <w:rPr>
          <w:rFonts w:hint="eastAsia"/>
        </w:rPr>
        <w:t>日起施行。</w:t>
      </w:r>
    </w:p>
    <w:sectPr w:rsidR="004B7E2B" w:rsidRPr="00662A0B" w:rsidSect="00623B16">
      <w:headerReference w:type="even" r:id="rId7"/>
      <w:footerReference w:type="even" r:id="rId8"/>
      <w:footerReference w:type="default" r:id="rId9"/>
      <w:pgSz w:w="11906" w:h="16838" w:code="9"/>
      <w:pgMar w:top="1474"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EA" w:rsidRDefault="002F74EA" w:rsidP="00623B16">
      <w:r>
        <w:separator/>
      </w:r>
    </w:p>
  </w:endnote>
  <w:endnote w:type="continuationSeparator" w:id="0">
    <w:p w:rsidR="002F74EA" w:rsidRDefault="002F74EA" w:rsidP="006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Pr="00623B16">
          <w:rPr>
            <w:rFonts w:ascii="Times New Roman" w:eastAsia="仿宋_GB2312" w:hAnsi="Times New Roman"/>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662A0B" w:rsidRPr="00662A0B">
          <w:rPr>
            <w:rFonts w:ascii="Times New Roman" w:eastAsia="仿宋_GB2312" w:hAnsi="Times New Roman"/>
            <w:noProof/>
            <w:sz w:val="28"/>
            <w:szCs w:val="28"/>
            <w:lang w:val="zh-CN"/>
          </w:rPr>
          <w:t>4</w:t>
        </w:r>
        <w:r w:rsidRPr="00623B16">
          <w:rPr>
            <w:rFonts w:ascii="Times New Roman" w:eastAsia="仿宋_GB2312" w:hAnsi="Times New Roman"/>
            <w:sz w:val="28"/>
            <w:szCs w:val="28"/>
          </w:rPr>
          <w:fldChar w:fldCharType="end"/>
        </w:r>
        <w:r w:rsidRPr="00623B16">
          <w:rPr>
            <w:rFonts w:ascii="Times New Roman" w:eastAsia="仿宋_GB2312" w:hAnsi="Times New Roman"/>
            <w:sz w:val="28"/>
            <w:szCs w:val="28"/>
          </w:rPr>
          <w:t xml:space="preserve"> </w:t>
        </w:r>
        <w:r w:rsidRPr="00623B16">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662A0B" w:rsidRPr="00662A0B">
          <w:rPr>
            <w:rFonts w:ascii="Times New Roman" w:eastAsia="仿宋_GB2312" w:hAnsi="Times New Roman"/>
            <w:noProof/>
            <w:sz w:val="28"/>
            <w:szCs w:val="28"/>
            <w:lang w:val="zh-CN"/>
          </w:rPr>
          <w:t>3</w:t>
        </w:r>
        <w:r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EA" w:rsidRDefault="002F74EA" w:rsidP="00623B16">
      <w:r>
        <w:separator/>
      </w:r>
    </w:p>
  </w:footnote>
  <w:footnote w:type="continuationSeparator" w:id="0">
    <w:p w:rsidR="002F74EA" w:rsidRDefault="002F74EA" w:rsidP="0062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16" w:rsidRPr="0030549A" w:rsidRDefault="00623B16" w:rsidP="0030549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7"/>
    <w:rsid w:val="000C0C39"/>
    <w:rsid w:val="000C28D7"/>
    <w:rsid w:val="000E372E"/>
    <w:rsid w:val="00141574"/>
    <w:rsid w:val="00145CA2"/>
    <w:rsid w:val="00202DFB"/>
    <w:rsid w:val="002302B9"/>
    <w:rsid w:val="0027698B"/>
    <w:rsid w:val="00285E47"/>
    <w:rsid w:val="002E3589"/>
    <w:rsid w:val="002F74EA"/>
    <w:rsid w:val="0030549A"/>
    <w:rsid w:val="003D3A0D"/>
    <w:rsid w:val="003E0F6D"/>
    <w:rsid w:val="00494B9C"/>
    <w:rsid w:val="004A204D"/>
    <w:rsid w:val="004B7672"/>
    <w:rsid w:val="004B7E2B"/>
    <w:rsid w:val="004C5226"/>
    <w:rsid w:val="004D1C1B"/>
    <w:rsid w:val="005B11FC"/>
    <w:rsid w:val="005F2AF8"/>
    <w:rsid w:val="00623B16"/>
    <w:rsid w:val="00626D85"/>
    <w:rsid w:val="00630202"/>
    <w:rsid w:val="00662A0B"/>
    <w:rsid w:val="00697C55"/>
    <w:rsid w:val="006F0491"/>
    <w:rsid w:val="00754A98"/>
    <w:rsid w:val="00767364"/>
    <w:rsid w:val="007B6F5C"/>
    <w:rsid w:val="00812B03"/>
    <w:rsid w:val="00864DD7"/>
    <w:rsid w:val="008F125B"/>
    <w:rsid w:val="009A5027"/>
    <w:rsid w:val="009C564D"/>
    <w:rsid w:val="00A24780"/>
    <w:rsid w:val="00A35583"/>
    <w:rsid w:val="00A62B81"/>
    <w:rsid w:val="00A63E18"/>
    <w:rsid w:val="00A66DF9"/>
    <w:rsid w:val="00AD61C1"/>
    <w:rsid w:val="00BA26B8"/>
    <w:rsid w:val="00BD062C"/>
    <w:rsid w:val="00BF203A"/>
    <w:rsid w:val="00BF468D"/>
    <w:rsid w:val="00C210CD"/>
    <w:rsid w:val="00C97024"/>
    <w:rsid w:val="00CF714B"/>
    <w:rsid w:val="00D13BB6"/>
    <w:rsid w:val="00D36227"/>
    <w:rsid w:val="00D5173A"/>
    <w:rsid w:val="00D621FA"/>
    <w:rsid w:val="00D74B42"/>
    <w:rsid w:val="00D90B47"/>
    <w:rsid w:val="00DA2658"/>
    <w:rsid w:val="00DB38A2"/>
    <w:rsid w:val="00E43DF2"/>
    <w:rsid w:val="00E82F91"/>
    <w:rsid w:val="00EF1FAA"/>
    <w:rsid w:val="00F00AE5"/>
    <w:rsid w:val="00F408EE"/>
    <w:rsid w:val="00FA43D9"/>
    <w:rsid w:val="00FB4253"/>
    <w:rsid w:val="00FD4FDD"/>
    <w:rsid w:val="00F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C22FDA0-5939-4FED-A659-C9A2E2D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uiPriority w:val="9"/>
    <w:semiHidden/>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529</Words>
  <Characters>3020</Characters>
  <Application>Microsoft Office Word</Application>
  <DocSecurity>0</DocSecurity>
  <Lines>25</Lines>
  <Paragraphs>7</Paragraphs>
  <ScaleCrop>false</ScaleCrop>
  <Company>P R C</Company>
  <LinksUpToDate>false</LinksUpToDate>
  <CharactersWithSpaces>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2022-10-20T07:53:00Z</dcterms:created>
  <dcterms:modified xsi:type="dcterms:W3CDTF">2022-10-20T07:55:00Z</dcterms:modified>
</cp:coreProperties>
</file>