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632" w:firstLineChars="200"/>
        <w:rPr>
          <w:rFonts w:hint="default"/>
          <w:lang w:val="en-US" w:eastAsia="zh-CN"/>
        </w:rPr>
      </w:pPr>
    </w:p>
    <w:p>
      <w:pPr>
        <w:pStyle w:val="2"/>
        <w:bidi w:val="0"/>
        <w:rPr>
          <w:rFonts w:hint="default"/>
          <w:lang w:val="en-US" w:eastAsia="zh-CN"/>
        </w:rPr>
      </w:pPr>
      <w:bookmarkStart w:id="0" w:name="_GoBack"/>
      <w:r>
        <w:rPr>
          <w:rFonts w:hint="default"/>
          <w:lang w:val="en-US" w:eastAsia="zh-CN"/>
        </w:rPr>
        <w:t>湖南省商务厅发布首批重点倍增产业链应用场景清单</w:t>
      </w:r>
    </w:p>
    <w:bookmarkEnd w:id="0"/>
    <w:p>
      <w:pPr>
        <w:bidi w:val="0"/>
        <w:ind w:firstLine="632" w:firstLineChars="200"/>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default" w:ascii="方正小标宋简体" w:hAnsi="方正小标宋简体" w:eastAsia="方正小标宋简体" w:cs="方正小标宋简体"/>
          <w:i w:val="0"/>
          <w:iCs w:val="0"/>
          <w:color w:val="000000"/>
          <w:kern w:val="0"/>
          <w:sz w:val="40"/>
          <w:szCs w:val="40"/>
          <w:u w:val="none"/>
          <w:lang w:eastAsia="zh-CN" w:bidi="ar-SA"/>
        </w:rPr>
        <w:t>一、</w:t>
      </w: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应用场景能力清单</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537"/>
        <w:gridCol w:w="1197"/>
        <w:gridCol w:w="2585"/>
        <w:gridCol w:w="7470"/>
        <w:gridCol w:w="1766"/>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序号</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所属产业链</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产品/解决方案名称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产品/解决方案介绍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发布单位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SA"/>
              </w:rPr>
              <w:t>联系人及手机号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工程机械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多功能跨运车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我司生产的多功能跨运车主要应用于储能箱体、集装箱、油罐箱体及类似大型物件的转运、堆叠、装卸车等作业场景.相较传统的转运方式的痛点，如交叉作业难、室内吊机范围受限，装车效率低等，我司生产的跨运车具有转运灵活、易操作、效率高、稳定性强、安全性高等特点。公司组建了资深的非标设计团队，能为客户提供定制化服务，精准解决大件搬运过程中的各类难题。我司生产的跨运车目前在细分领域国内市场占有率达80%以上，多年稳居首位，深受好评。代表客户有比亚迪、宁德时代、国家电网、美国LG、海博思创等大型企业，回购率100%。</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湖南盛势通科技有限公司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毛文知</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17773121573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杨梅采后减损贮藏保鲜方法</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集成了“采后处理+冰温贮藏+活性包装”的杨梅保鲜贮藏技术，目前已在农科院进行中试生产完毕，基本能达到保鲜15天杨梅的商品化率达90%以上，且经冷链运输后1天内依旧新鲜。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夏旭</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18890356846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绿色农产品及食品加工</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第三代杂交水稻（广三系）育种技术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传统杂交水稻育种技术存在资源利用率低和受光温条件影响生产稳定性不足的问题，研究院创造性的将隐性核雄性不育基因应用于杂交水稻生产，在国际上首例成功创建了第三代水稻杂交育种（广三系）技术，在提高水稻种质资源利用率至接近100%的同时，又避免了光照和低温等自然条件对不育系育性的影响，提升了制种安全性，填补了国内外隐性单基因控制的核不育系在水稻生产应用上的空白。</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怀化市作物分子设计育种研发中心</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陈雷</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13811954970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河道生态巡查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基于无人机多传感器融合与AI边缘计算技术，构建河道生态全要素智能监管体系。系统通过长航时无人机搭载高光谱相机及多参数水质传感器，沿河道网格化航线自动飞行采集数据；AI引擎实时识别非法采砂行为（船舶特征识别准确率≥95%）、污水偷排口（热异常+泡沫纹理分析）及漂浮污染物（种类分类精度90%），同步将水质参数空间分布图与历史数据动态比对。平台自动生成水利异常预警报告，秒级推送至河长制管理平台及执法终端，形成“监测-溯源-执法-修复”全链条闭环管理，助力水生态治理从被动响应转向主动防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违建巡查</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融合无人机倾斜摄影与AI三维重建技术，打造城市违建监控平台。系统通过无人机集群按规划网格自动执行厘米级精度航测（单架次覆盖2km²），基于激光雷达点云与可见光影像构建实景三维模型；AI算法自动比对规划审批数据库与历史航拍数据，精准识别新增违建（检测灵敏度0.5㎡）、违规加层（高度误差&lt;0.1m）及侵占红线（空间重叠分析），并通过变化检测技术过滤合法施工干扰。平台自动生成带空间坐标的违法证据包（含三维模型对比图），一键推送至城管执法系统并同步规划、国土部门数据库，实现“发现-举证-立案-拆除”全流程数字化协同，违建处置效率提升10倍。</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符鹏</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18684938085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多领域无人机智慧巡检系统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针对交通路网、农林生态、水务等多领域场景，打造全域数字化巡检解决方案：实现无人机巡检实时数据回传，助力预防性维护；动态监测农业作物、森林火险、水库坝体等,提升生态管理效率,实现隐患可视化追溯，全方位保障水利设施安全运行。系统以技术驱动为核心，为多行业提供高效、可靠的数字化巡检支持。</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航空科普教育营地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打造面向全龄段的航空科普教育平台，融合飞行理论、无人机实践及人工智能课程，承办航空航天赛事、研学实践等特色项目，深化青少年对航空科学的认知，以竞赛与实践结合的形式激发创新潜能。聚焦无人机驾驶执照培训，提供从理论教学到实操飞行的全流程课程，涵盖民航法规、空域管理、应急处置等核心模块。打造"理论+实操+认证"的闭环培养模式，为不同年龄段学习者提供从兴趣启蒙到职业资质的进阶通道，全面助力航空人才培养与产业需求对接。</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衡阳群英飞航空科技有限公司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何美英</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13974859993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政务巡检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在一定区域内，布置多台无人值守机巢，统筹至低空飞行服务平台，提高无人机作业范围和作业效率。无人机可挂载多种传感器如摄像头、气体采集、多光谱等设备，利用操控平台加载智慧中台即AI系统，对实时传输与储存的数据进行识别和分析，提升城市治理水平、加强公共管理效能。其应用范围涵盖：公安、城管、水利、应急、自规、农业农村、住建、交通等多个部门和场景。</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湖南新翼智能科技发展有限公司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陈亚妮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15886310935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巡检复合翼无人机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复合翼无人机能满足长续航大范围的应用场景，能作为巡检航拍等应用场景。复合翼无人机不需要长距离的跑道，能直接垂直起飞。复合翼最长滞空时间能达到12小时，飞行速度快，飞行高度高，能挂载很多设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应急照明系留无人机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系留无人机是通过电源线缆连接到无人机，采用地面电源箱供电。因此，系留无人机能长时间滞空，作为照明无人机，能为足球场大小的场地提供长时间照明，特别适合野外等应急场景的使用。</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光伏面板清洗无人机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无人机内部装有30L或者50L水箱，通过不断转动喷嘴，对光伏面板的表面进行反复清洗。通过无人机清洗，比人工清洗的效率更高，成本也低。</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载重物流无人机</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六轴无人机具有30-50公斤的载重，能运输重要物质，如医用药品，也可以服务农业，从山顶运输经济作物到山底。</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夏含信</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13528836085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通航旅游、会展、制造及机场服务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推进A1类机场升级（800米跑道→3C级），联合申报省级通航小镇及国家4A景区，打造“制造+运营+文旅”全产业链枢纽，主导开发“猎玩通航小镇”（规划5000亩，拟投资26.4亿元）。</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湖南猎玩体育产业发展有限责任公司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周明</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18673066666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航空航天及北斗</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提供飞行培训、机务保障服务</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2024年完成省级核准并投运，提供飞行培训、机务保障服务，未来拓展至3C等级承接中型固定翼飞机。</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平江安定通用机场有限公司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彭为卫</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13873054448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装配式建筑</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保温楼承板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按照建好房子，住好房子的智能建造理念，我公司在全国范围内率先研发与混凝士同寿命的保温结构一体化产品“保温楼承板”。该产品在施工过程中具有工序少、易建性好、施工安全风险小、隔声的优点，彻底解决了当前保温材料施工工序复杂、施工安全风险大、易脱落空鼓、挤占室内空间、成本高等施工难点问题。同时进一步解决了因业主接受度不高，在装修期间铲除保温材料所造成的房屋保温系统破坏、资源浪费、制造垃圾的社会痛点问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湖南麓谷建筑科技有限公司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杨武昆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18230511200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磁浮交通</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磁悬浮输送系统作为新一代工业传输方式，颠覆性解决了皮带、倍速链等传统机械传动模式存在的摩擦损耗、维护成本高、柔性化不足等问题，为现代工业生产提供高效、精确、灵活的物料流转平台。其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磁悬浮输送系统创新性融合了先进电磁力控制、高精度定位检测与智能控制技术，实现无接触传输、精准定位、智能监测及预测性维护。能够实现最大速度5m/s，最大加速度100m/s²，重复定位精度±0.005mm。2024年10月，该技术获国家工业信息安全发展研究中心“国际先进”评价。</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徐晶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18397590898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市政环卫车辆（燃料电池清扫车、燃料电池压缩式垃圾车）</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一、基本情况本场景聚焦市政环境清扫领域，针对城市道路清洗、垃圾收运等作业需求，开发并应用 BJ5182TXSFCEV1 氢燃料洗扫车、BJ5182ZYSFCEV1 氢燃料压缩车两款产品。洗扫车具备 9 种作业功能，覆盖道路清洗、清扫、降尘等场景；压缩车采用高强度钢及升级液压系统，支持多种垃圾收运方式，均适用于城市主干道、广场、居民区等复杂环境。两款车辆均采用氢燃料电池动力系统，替代传统燃油/锂电池环卫车，实现零尾气排放，解决传统车辆高污染、低温性能差、续航不足等问题。二、技术路线及可行性动力系统：搭载福田氢燃料电池专用底盘，匹配电机直驱风机、水泵、液压泵等作业装置，能量转换效率高，可达到90%以上。作业系统：洗扫车集成扫盘降尘、宽吸嘴清洗等装置，压缩车采用高压力液压系统（压缩密度 0.65~0.85），作业效率较同类产品提升50%。能源补给：采用5分钟快速加氢技术，续航里程达510km，适配现有加氢站网络。</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长沙普罗科环境装备有限责任公司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鲁芮</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18711061540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工业窑炉低碳氢氧燃烧技术</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工业窑炉氢氧燃烧（氢能+全氧）是利用绿电电解水制取的氢气（H₂）和氧气（O₂）燃烧反应的技术，反应释放大量能量，产物仅为水（H₂O），是高效、低碳的能源利用方式。用全氧（O₂）替代助燃风空气与氢气（H₂）燃烧，可实现近零碳排放和高能量密度输出，具有零碳排放和高能量密度特点，是未来清洁能源系统重要组成部分，是实现工业脱碳和高效能源转换重要路径， 为钢铁、陶瓷、玻璃、冶金等高温工业提供深度脱碳路径，大幅降低运营成本与碳排放。</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湖南润泽新能源科技有限公司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赵权</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1561636333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19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智慧电站为高速、铁路工程施工解决用电需求</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智慧电站是一种结合柴油发电机组与储能系统的混合动力供电解决方案，通过EMS能量管理系统实现智能调度，适用于工程施工领域的临时用电需求。该产品具有以下特点：1. 节能高效：通过柴储混动模式，降低油耗30%-40%，每升柴油发电量提升至3度以上。2. 稳定供电：毫秒级响应负载变化，保障电压和频率稳定，适用于高功率冲击性负荷场景。3. 环保低碳：支持与光伏、市电并网运行，减少碳排放。4. 智能管理：实时监测电能储存与使用，远程控制，数据分析。应用场景包括隧道掘进、桥梁施工、混凝土搅拌站等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张洋</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15116076450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新能源</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华为全液冷超充解决方案，加速高压快充桩布局</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color w:val="000000"/>
                <w:sz w:val="28"/>
                <w:szCs w:val="28"/>
                <w:u w:val="none"/>
                <w:lang w:val="en-US" w:eastAsia="zh-CN" w:bidi="ar-SA"/>
              </w:rPr>
              <w:t>华为全液冷超充桩是新一代电动汽车充电基础设施，采用创新的全液冷散热技术，具有以下核心优势：​1、高效充电能力：支持600kW最大输出功率，实现"一秒一公里"的极速充电体验，兼容主流电动车充电协议。​2、技术创新：全液冷散热系统，相比传统风冷方案：噪音降低50%以上；散热效率提升30%；设备寿命延长2-3倍；采用模块化设计，支持灵活扩容。4、节能环保：充电效率高达96%；支持光伏等可再生能源接入；低能耗待机模式。5、智能化管理：云端智能调度系统；支持V2G（车网互动）技术；大数据分析优化充电策略。该解决方案已在湖南长沙、株洲、永州、湘潭等地试点部署，单桩日均服务能力达100车次以上，故障率低于0.5%，用户满意度超过98%。特别适合在高速公路服务区、城市公共停车场、物流园区等场景大规模部署。</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邹毅</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15807333395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智能打磨工作站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产品介绍：通过机器人控制系统，根据工件材质和结构特点，灵活选配打磨工具，定制开发打磨软件，满足复杂零部件去毛刺打磨需求和信息化管理需求。适用场景：1. 铝镁合金压铸件的披锋打磨和毛刺去除；2. 发动机缸体、壳体、阀体等汽车零部件机加工后的毛刺去除；3. 焊接件的焊缝打磨等。</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郭赐东</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15005194725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22</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铸造材料成型</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主要产业为铸件材料及成品全品类铸件，具备熔炼、造型、抛丸、热处理、砂回收、焊接、探伤、质量检测等方面能力，有完整的铸钢、铸铝、铸铁、机加、试验检测的生产能力，励志打造智能、柔性、绿色、高效的铸件生产线。多零件集成铸钢件成型技术：高速重载轨道交通车辆转向架铸件结构轻量化方案；超音速航天反雷达探测导弹弹体轻量化、精密成型方案。超低温高韧性球墨铸铁成型技术：超低温球墨铸铁成型超高压抗爆球墨铸铁精密成型表面高球化球墨铸铁制造工艺。超高强度高韧性铝合金成型技术：超音速弹道导弹弹体锻（铝）改铸（铝）成型工艺研发；高速动车电机铸件轻量化研发；磁悬浮列车大型构件集成化产品工艺研发。硅溶胶精密铸造成型技术轨道交通用高强度合金材料开发；高温合金材料开发。</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株洲九方铸造股份有限公司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曾庆文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15073300031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23</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钢铁材料质量管控整体解决方案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为企业提供“洁净钢水控制”“机器视觉表面检测”“钢水液面波动”“电磁超声无损探伤”等智能化的钢铁材料质量管控整体解决方案，有效帮助企业提高钢铁材料质量，降低缺陷事故风险，提升综合竞争力。</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衡阳镭目科技有限责任公司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肖小文</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13873495005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24</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金属增材解决方案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提供金属增材制造设备、工艺开发和快速制造等整体解决方案。产品主要用于航空航天、工业制造等高端制造业，助力各类高端金属部件的创新研发及定制化生产。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25</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铸造增材制造解决方案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提供高端砂型/蜡型增材制造设备、关键材料工艺和增材制造+传统铸造相结合的核心技术及产品。用于复杂结构、异形结构的高端铸件的研发、生产，可提供单个和中小批量产品的定制生产。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26</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非金属增材制造解决方案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提供系列化非金属整体解决方案，材料涵盖工程塑料、尼龙、光敏树脂等。可用于具有复杂结构的手板零件、定制化工装、产品模型、文化创意等产品的中小批量快速生产。</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湖南云箭集团有限公司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郁玉萍</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15116471568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27</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先进钢铁材料</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烧结智能制造整体解决方案</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实现了工艺装备、生产过程控制智能化，有效解决了烧结工艺流程长、大滞后、原料因素不稳定等长期困扰烧结生产过程控制的难题。</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中冶长天（长沙）智能科技有限公司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戴锐</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13687307972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28</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智能下料分拣产线</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产线设计上充分结合了行业内用户典型生产状况，能够完成工件全生命周期管理和自动下料、自动分拣、自动配盘、自动打磨、自动打码、自动物流等功能于一体的现代化智能工厂产线，在为企业降低大量人力劳动的同时，实现产能跨越式提升。</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湖南视比特机器人有限公司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陈瑶</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17775836862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29</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新一代信息技术</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高性能与智能计算</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建有全国高校算力TOP20的计算集群，存储能力1.7Pb、算力能力2.6PFlops、标准机架180个，可提供大规模数据存储、数值仿真、高性能计算和人工智能网络模型训练等服务。</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湖南韶峰应用数学研究院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肖娆</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18173239929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30</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医疗耗材仓储物流云平台</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智能硬件+医疗物联网，对院内人员、耗材及物资等各个环节实现集中管理，监控医疗耗材供应环节，做到耗材耗用可追溯，保证医用质量安全，有效提升管理水平和质量。</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湖南德荣医疗健康产业有限公司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汤建</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18670015928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5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31</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生物医药和医疗器械</w:t>
            </w:r>
          </w:p>
        </w:tc>
        <w:tc>
          <w:tcPr>
            <w:tcW w:w="25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w:t>
            </w:r>
          </w:p>
        </w:tc>
        <w:tc>
          <w:tcPr>
            <w:tcW w:w="7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GTX.One基因超算工作站是一款超级计算服务器。内置高倍率基因组压缩工具、高性能基因计算加速方案及基因突变注释与解读系统等。可将基因测序Fastq数据压缩至原GZ文件大小的2%。</w:t>
            </w:r>
          </w:p>
        </w:tc>
        <w:tc>
          <w:tcPr>
            <w:tcW w:w="1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人和未来生物科技（长沙）有限公司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_GB2312" w:cs="Times New Roman"/>
                <w:i w:val="0"/>
                <w:iCs w:val="0"/>
                <w:color w:val="000000"/>
                <w:sz w:val="28"/>
                <w:szCs w:val="28"/>
                <w:u w:val="none"/>
              </w:rPr>
            </w:pPr>
            <w:r>
              <w:rPr>
                <w:rFonts w:hint="default" w:ascii="Times New Roman" w:hAnsi="Times New Roman" w:eastAsia="仿宋_GB2312" w:cs="Times New Roman"/>
                <w:i w:val="0"/>
                <w:iCs w:val="0"/>
                <w:color w:val="000000"/>
                <w:kern w:val="0"/>
                <w:sz w:val="28"/>
                <w:szCs w:val="28"/>
                <w:u w:val="none"/>
                <w:lang w:val="en-US" w:eastAsia="zh-CN" w:bidi="ar-SA"/>
              </w:rPr>
              <w:t>方龙</w:t>
            </w:r>
            <w:r>
              <w:rPr>
                <w:rFonts w:hint="default" w:ascii="Times New Roman" w:hAnsi="Times New Roman" w:eastAsia="仿宋_GB2312" w:cs="Times New Roman"/>
                <w:i w:val="0"/>
                <w:iCs w:val="0"/>
                <w:color w:val="000000"/>
                <w:kern w:val="0"/>
                <w:sz w:val="28"/>
                <w:szCs w:val="28"/>
                <w:u w:val="none"/>
                <w:lang w:val="en-US" w:eastAsia="zh-CN" w:bidi="ar-SA"/>
              </w:rPr>
              <w:br w:type="textWrapping"/>
            </w:r>
            <w:r>
              <w:rPr>
                <w:rFonts w:hint="default" w:ascii="Times New Roman" w:hAnsi="Times New Roman" w:eastAsia="仿宋_GB2312" w:cs="Times New Roman"/>
                <w:i w:val="0"/>
                <w:iCs w:val="0"/>
                <w:color w:val="000000"/>
                <w:kern w:val="0"/>
                <w:sz w:val="28"/>
                <w:szCs w:val="28"/>
                <w:u w:val="none"/>
                <w:lang w:val="en-US" w:eastAsia="zh-CN" w:bidi="ar-SA"/>
              </w:rPr>
              <w:t>15576629132</w:t>
            </w:r>
          </w:p>
        </w:tc>
      </w:tr>
    </w:tbl>
    <w:p>
      <w:pPr>
        <w:bidi w:val="0"/>
        <w:rPr>
          <w:rFonts w:hint="eastAsia" w:ascii="仿宋_GB2312" w:hAnsi="仿宋_GB2312" w:eastAsia="仿宋_GB2312" w:cs="仿宋_GB2312"/>
          <w:lang w:val="en-US" w:eastAsia="zh-CN"/>
        </w:rPr>
        <w:sectPr>
          <w:headerReference r:id="rId5" w:type="default"/>
          <w:footerReference r:id="rId6" w:type="default"/>
          <w:pgSz w:w="16838" w:h="11906" w:orient="landscape"/>
          <w:pgMar w:top="1134" w:right="1134" w:bottom="1134" w:left="1134" w:header="851" w:footer="992" w:gutter="0"/>
          <w:cols w:space="720" w:num="1"/>
          <w:docGrid w:type="linesAndChars" w:linePitch="554" w:charSpace="-842"/>
        </w:sectPr>
      </w:pPr>
    </w:p>
    <w:p>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r>
        <w:rPr>
          <w:rFonts w:hint="default" w:ascii="方正小标宋简体" w:hAnsi="方正小标宋简体" w:eastAsia="方正小标宋简体" w:cs="方正小标宋简体"/>
          <w:i w:val="0"/>
          <w:iCs w:val="0"/>
          <w:color w:val="000000"/>
          <w:kern w:val="0"/>
          <w:sz w:val="40"/>
          <w:szCs w:val="40"/>
          <w:u w:val="none"/>
          <w:lang w:eastAsia="zh-CN" w:bidi="ar-SA"/>
        </w:rPr>
        <w:t>二、</w:t>
      </w:r>
      <w:r>
        <w:rPr>
          <w:rFonts w:hint="eastAsia" w:ascii="方正小标宋简体" w:hAnsi="方正小标宋简体" w:eastAsia="方正小标宋简体" w:cs="方正小标宋简体"/>
          <w:i w:val="0"/>
          <w:iCs w:val="0"/>
          <w:color w:val="000000"/>
          <w:kern w:val="0"/>
          <w:sz w:val="40"/>
          <w:szCs w:val="40"/>
          <w:u w:val="none"/>
          <w:lang w:val="en-US" w:eastAsia="zh-CN" w:bidi="ar-SA"/>
        </w:rPr>
        <w:t>应用场景机会清单</w:t>
      </w:r>
    </w:p>
    <w:p>
      <w:pPr>
        <w:keepNext w:val="0"/>
        <w:keepLines w:val="0"/>
        <w:widowControl w:val="0"/>
        <w:suppressLineNumbers w:val="0"/>
        <w:spacing w:before="0" w:beforeAutospacing="0" w:after="0" w:afterAutospacing="0" w:line="580" w:lineRule="exact"/>
        <w:ind w:left="0" w:right="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SA"/>
        </w:rPr>
      </w:pPr>
    </w:p>
    <w:tbl>
      <w:tblPr>
        <w:tblStyle w:val="11"/>
        <w:tblW w:w="15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32" w:type="dxa"/>
          <w:left w:w="64" w:type="dxa"/>
          <w:bottom w:w="32" w:type="dxa"/>
          <w:right w:w="64" w:type="dxa"/>
        </w:tblCellMar>
      </w:tblPr>
      <w:tblGrid>
        <w:gridCol w:w="1140"/>
        <w:gridCol w:w="1084"/>
        <w:gridCol w:w="1268"/>
        <w:gridCol w:w="3160"/>
        <w:gridCol w:w="2429"/>
        <w:gridCol w:w="2028"/>
        <w:gridCol w:w="1350"/>
        <w:gridCol w:w="1084"/>
        <w:gridCol w:w="2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blHeade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序号</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所属产业链</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场景名称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机会描述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建设基础</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合作需求</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拟合作方式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业主单位</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SA"/>
              </w:rPr>
              <w:t>联系人及手机号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天然饮用矿泉水产业开发利用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    聚焦麻阳天然饮用矿泉水开发与利用，计划引入优质大型天然饮用矿泉水企业、大健康发展企业和医疗用水开发企业，解决资金短缺、缺少知名品牌、水产业不发展，达到更好地开发利用麻阳天然饮用矿泉水的目的。</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县已经成功在全县12个乡镇发现天然饮用矿泉水，完成地质勘探、水质监测、钻井，并在此基础上向省厅申请了3个天然饮用矿泉水资源开发地块。每个地块每天可开采天然饮用矿泉水500-1000吨。这几处矿泉水开发基地位于省道或高速公路附近，交通便捷，环境优美。在技术方面，有自然资源部技术专家团队做支撑。</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引进高品质天然饮用矿泉水资源开发与利用企业</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直接采购、联合开发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麻阳苗族自治县自然资源局</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田连春</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13974549687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湘西泡菜是湖南湘西地区的一种特色发酵蔬菜，湘西泡菜预制化工业生产目前面临的对泡菜母水依赖性强，风味不稳定，易变质等问题亟待解决。</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团队有研究人员5名，初步完成了湘西泡菜预制化的基础研究。</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湘西泡菜预制化工业生产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怀化市农业科学研究院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陈宇昱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13237489869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绿色农产品及食品加工</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杂交水稻新品种培育、生产制种及生产应用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杂交水稻育种技术存在资源利用率低和受光温条件影响生产稳定性不足的问题，利用将隐性核雄性不育基因创制新型杂交水稻不育系，提高水稻种质资源利用率至接近100%的同时，又避免了光照和低温等自然条件对不育系育性的影响，提升了制种安全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逐年培育出系列优异的广三系不育系，截至目前已有8个不育系通过主管部门鉴定，可产业化开发；配组筛选出杂交水稻优势组合陆续进入国内和国外新品种审定，截止目前已有15个杂交水稻新品种送审，其中圳18优粤标5号通过浙江省审定、圳优545通过江苏审定，已经开始制种布点示范并销售。希望与种业企业、高校院所合作，开发新型杂交水稻品种，并完成审定，应用于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第三代杂交水稻配组、审定、应用开发</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联合研发、品种生产经营</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怀化市农科院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怀化市职业技术学院</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湖南奥谱隆种业科技有限公司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安徽荃银高科种业股份有限公司</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合肥丰乐种业股份有限公司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陈雷</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13811954970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交通拥堵监测</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针对传统地面监测盲区多（覆盖率＜40%）、拥堵预测滞后（平均提前量＜10分钟）、信号调控依赖经验判断等问题，需构建无人机高空感知网与AI动态决策系统。重点突破：全息路况感知、拥堵溯源分析、信号智慧调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资源：已接入全市1200路交通摄像头数据、建成交通流量历史数据库；硬件准备：规划部署22个无人机智能机巢（覆盖核心城区）、信号灯控制系统已完成智能化改造；验证成果：在试点路段实现高峰期通行速度提升18%（基于模拟推演）。</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 智能感知设备：长航时交通巡查无人机、车载AI分析边缘计算盒；2. 决策系统：拥堵预测引擎、信号灯动态优化算法。</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数据合作、联合研发、BOT模式</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智能交通管理</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解决路网运行评估碎片化、违法识别效率低（人工审核＞3分钟/例）、管控指令缺乏数据支撑等痛点，需建设“感知-认知-决策”一体化平台。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平台基础：已建成交通大数据中心；前期验证：在3个路口试点实现违法识别效率提升15倍。</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1.核心系统：多源数据融合中台（秒级处理10万+终端数据）2. 智能装备：5G网联无人机、全向扫描雷视一体机；3. 算法服务：交通优化方案生成引擎。</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PPP模式、技术采购、标准共建</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长沙数字集团</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符鹏</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18684938085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无人机巡检技术升级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计划引入高精度激光雷达与多光谱传感器技术，提升交通路网智能识别能力，开发适配农林水电的高新技术，优化预警时效性。</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现有巡检系统可覆盖交通/旅游，实现隐患可视化追溯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政策支持、项目合作协调</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湖南华侨城雁新城片区飞行营地项目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该项目计划投资1500万，前期使用500万，租用华侨城在合江街道段湘江边滩头地，因地制宜，清理杂树杂草，夯实地基，种上草皮，改造成飞行营地，适合各种航空运动类飞行器，如牵引滑翔伞、动力伞、运动类水上飞机和初级类飞机等为航空爱好者和大众参与体验飞行、航空运动训练、休闲娱乐飞行，实现航空运动+文旅的低空经济业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湖南运通飞行航空服务有限公司拟在华侨城权属区域内，湘江河边1号码头地段，建设飞行营地+文旅项目，项目包括建设A2级直升机场和水上通用机场</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资金投入</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第三方公司股份投资</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湖南运通飞行航空服务有限公司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邓运国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18975425555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航空教育产教融合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与学校合作共建航空航空科技特色学实验室，开设航空航天科普课程；打造专业研学飞行教育营地，策划个性化研学方案，承办专业赛事，配套建设训练场地，实现“课程科普+研学实践+职业考级”的贯通式航空教育体系。</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已打造全龄段航空科普教育平台，完成4所中小学科普实验室投建与课程开设；承办了多届省级市级科技体育相关赛事；具备民航局认证无人机培训资质，每年定量输出执证飞手</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政策支持</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政企校合作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 xml:space="preserve">衡阳群英飞航空科技有限公司  </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何美英</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13974859993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系留无人机的机载端电源模块，为无人机提供动力电源。目前机载电源体积大，价格贵，还没有能满足10KW大功率的机载电源。</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已经开发了无人机和地面电源箱体。目前寻找供应商，采购10KW的DC/DC 电源模块，具有体积小，成本低等特点。</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10KW电源模块，1000V输入，50V输出</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湘潭无线电有限公司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夏含信</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13528836085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航空航天及北斗</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政务巡检</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株洲市天元区全域低空政务系统</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目前新翼公司服务天元区各委办单位如：水利局、生态环境分局、应急管理局、交通运输局、自然资源局、城管局、住建局、文体局、卫健局、农业农村局、三个镇和马家河街道等多部门和场景。</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eastAsia" w:ascii="仿宋_GB2312" w:hAnsi="仿宋_GB2312" w:eastAsia="仿宋_GB2312" w:cs="仿宋_GB2312"/>
                <w:i w:val="0"/>
                <w:iCs w:val="0"/>
                <w:color w:val="000000"/>
                <w:sz w:val="28"/>
                <w:szCs w:val="28"/>
                <w:u w:val="none"/>
              </w:rPr>
            </w:pP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公开招标</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株洲市天元区区政府</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王建国</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13873337669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11</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磁浮交通</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作为新一代工业传输方式，颠覆性解决了皮带、倍速链等传统机械传动模式存在的摩擦损耗、维护成本高、柔性化不足等问题，为现代工业生产提供高效、精确、灵活的物料流转平台。核心优势在于产品与传输线、产品与产品之间的解耦能力，可灵活调整传输方式和速度，大幅提升产线的智能化与柔性化水平，满足多样化生产需求，广泛应用于消费电子、医药装备、包装机械、线束加工、汽车、光伏、锂电、激光、核工业等行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已成功研发磁悬浮输送系统，突破定位精度、重复定位精度等核心技术，形成产业化生产。</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磁悬浮输送系统</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湖南凌翔磁浮科技有限责任公司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徐晶</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18397590898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12</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先进钢铁材料</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工业窑炉氢氧燃烧</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聚焦工业窑炉领域化石燃料燃烧存在的痛点，计划引入绿电制氢与全氧燃烧技术，系统性解决现有燃烧方式存在的高碳排放、低热效率、氮氧化物污染及能源浪费等问题，实现工业高温过程的深度脱碳与能效跃升。</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已经成功研发了氢氧成型烧嘴，并有实际应用案例，完成了氢氧燃烧产品自动化生产方面的工艺研究工作，希望与制造企业、应用落地。</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应用工业窑炉低碳燃烧</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直接采购、项目合作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湖南钢铁集团、陶瓷生产企业</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赵权</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15616136333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13</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新一代信息技术</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数字化研发平台建设项目</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实现基于自主创新的正向研发体系与数字孪生技术。2.实现型谱优化、基于经验固化的专家快速设计、多专业一体化联合仿真、虚拟试验和半实物仿真、数字化工厂变更管控与统一BOM管理等能力。3.打造产品全生命周期数字化研发平台，实现端到端业务打通。</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建立覆盖工程机械全生命周期的数字化研发体系，拥有PLM（产品生命周期管理）系统基础及多学科仿真能力；在智能农机、高空机械等领域完成数字样机验证，积累超10万条设计参数库；获评国家级工业设计中心，具备CAE/CAD/CAM集成应用经验。</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联合开发基于数字孪生的正向设计模块（型谱优化、专家知识库）</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搭建多专业协同仿真平台（结构-液压-控制联合仿真）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构建BOM全流程管理系统，打通研发-制造数据链</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联合研发、生产</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中联重科股份有限公司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杨宗宁</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15080716605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14</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场景采集与真值测评系统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包括数据采集主机（包含CAN/CANFD、以太网、COM、USB等数据通道若干，带存储系统）、真值传感器（包括128线主激光雷达、补盲激光雷达、高精定位组合惯导、毫米波雷达、智能摄像头等真值传感器若干）、处理器（包含在线感知融合算法服务器，离线reference真值算法服务器）、采集系统配件（包含监控相机、鱼眼相机、打点器、显示屏、线缆等）以及相关配套软件。</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高精度真值传感器套件、多源异构数据同步采集与融合处理系统、符合ISO 34502标准的场景重建与测评软件</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15</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HIL系统实时仿真平台</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控制器PXIe-8881，主频3.9 GHz，八核处理器；机箱至少18槽，可用于后续扩展，模拟IO输入输出至少各8路，数字IO输入输出至少各8路；包括4路车载以太网接口，支持100/1000BASE-T1；4路标准以太网，支持100/1000BASE-Tx；10路CAN/CAN FD接口，2路LIN接口</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高实时性PXIe仿真机箱</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16</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雪天模拟系统、室内定位系统</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雪天模拟系统：满足小雪、大雪等不同等级和能见度的雪天环境模拟。</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室内定位系统：速度精度：±0.1km/h；位置精度：2cm；支持RT设备并实现室内室外环境无缝切换。更新速率：100Hz；首次定位时间：＜0.2s。</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虚实融合测试设备：包括图形工作站、组合惯导（准确计算记录车辆本身的姿态信息）、车端总线注入设备、仿真软件\多平板集群控制系统（软体目标物、驱动平板等）</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拥有直径300m的淋雨动态广场、长1.5km的直线性能路、4种坡度（10%、20%、30%、60%）的标准坡道、长186m的涉水池、长300m的ABS试验路、长520m的车外噪声试验路等试验道路；拥有天气模拟系统（雨雾模块），完成过ASIL D级智驾系统室内验证项目。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可控雪密度与能见度的动态降雪模拟设备、厘米级室内外无缝定位系统（RTK+UWB融合）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直接采购、定制开发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汽院智能网联汽车检测中心（湖南）有限公司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李汛</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15658136882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17</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储能用层状金属复合材料薄带研发技术及产业化</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研究中厚板高能率动态复合技术、大压下强冷变形非对称轧制技术、薄板板形控形、控性和界面控制关键技术，形成高结合强度、界面均匀的超薄异质金属材料系列产品（厚度规格为0.5mm-6mm不同厚度、不同厚度比的铜铝、铜镍和钛铜等铜复合系列产品）</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设有专家、博士工作站，建有省、市级企业技术中心，爆炸加工技术中心，层状金属复合技术检测中心，层状金属复合材料关键技术达到国际标杆级水平。</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非对称轧制工艺优化（解决薄带板形翘曲问题），界面扩散控制技术（抑制金属间化合物生成）</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技术引进、产线合作</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湖南方恒新材料技术股份有限公司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赵芳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18670349809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18</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新能源</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碳基材料循环利用与提纯技术研究</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通过理论分析与实验表征相结合，利用石墨材料天然疏水性的特性，对已经拆解破碎废旧电池负极进行浸出-气浮一体化技术研究，一步气浮分离石墨与液相和固相杂质，获得石墨精料；2、针对碳纳米管中杂质含量较多，开展化学协同纯化技术、高温纯化技术及低分子络合诱导杂质化学气相沉淀技术，在无损伤的前提下，力争金属杂质 （Co和 Fe等）含量小于200 ppm，并且减少能耗成本</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金阳烯碳拥有100余名研发人员、70余项相关专利，掌握着石墨烯高质量低成本的制备技术，建成了全自动化石墨烯与锂离子电池石墨负极材料生产线，实现了少层高纯石墨烯粉体的量产，已经在石墨烯和锂离子电池石墨负极材料研发生产这条赛道上积累起“高技术壁垒”</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高温提纯能耗控制方案</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湖南金阳烯碳新材料股份有限公司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肖芬芳</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15802516855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19</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安全系统解决方案</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拟通过硬件平台合作开发、应用软件自主开发的方式，形成具有国产自主知识产权的安全系统解决方案，建立行业安全控制系统设计标准，打造高空作业领域的专业应用平台。</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星邦智能已在高空作业平台领域实现控制系统全栈自研，掌握CAN总线通信、多传感器融合技术；产品通过欧盟CE/美国ANSI认证，安全控制算法积累超5万小时路谱数据。</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1.高可靠硬件平台（满足IP67防护等级、-40℃~85℃工况）；</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2.功能安全认证支持（ISO 13849 PL e级）；</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3.倾翻保护、载荷识别等核心算法优化。</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湖南星邦智能装备股份有限公司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徐姣</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18670097156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jc w:val="center"/>
        </w:trPr>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20</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工程机械</w:t>
            </w:r>
          </w:p>
        </w:tc>
        <w:tc>
          <w:tcPr>
            <w:tcW w:w="1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多介质中心回转接头开发及应用</w:t>
            </w:r>
          </w:p>
        </w:tc>
        <w:tc>
          <w:tcPr>
            <w:tcW w:w="31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本项目拟自主开发多介质中回，以替代进口元件，且通过高性价比的技术自主，拓展应用场景，降低主机客户的综合生产成本。1.耐久旋转测试≥15万次。2.性能测试压力等级：低压试验3MPa，高压试验31.5MPa。3.不同介质通道间的泄露量：零泄露。4.主体材料及密封材料对各介质的抗腐蚀能力：耐久试验后，性能无异常，拆解无腐蚀痕迹。5.产品性价比。以三一越野起重机应用的多介质中回为例，较进口产品下降40%以上。</w:t>
            </w:r>
          </w:p>
        </w:tc>
        <w:tc>
          <w:tcPr>
            <w:tcW w:w="24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已开发液压回转接头（压力35MPa）批量用于三一挖掘机；完成多通道密封结构原型设计，通过3万次旋转耐久测试；建有CNAS认证检测实验室。</w:t>
            </w:r>
          </w:p>
        </w:tc>
        <w:tc>
          <w:tcPr>
            <w:tcW w:w="20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超硬密封材料</w:t>
            </w:r>
          </w:p>
        </w:tc>
        <w:tc>
          <w:tcPr>
            <w:tcW w:w="13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联合研发</w:t>
            </w:r>
          </w:p>
        </w:tc>
        <w:tc>
          <w:tcPr>
            <w:tcW w:w="10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长沙孟德机械科技有限公司</w:t>
            </w:r>
          </w:p>
        </w:tc>
        <w:tc>
          <w:tcPr>
            <w:tcW w:w="2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SA"/>
              </w:rPr>
              <w:t>刘丹杰</w:t>
            </w:r>
            <w:r>
              <w:rPr>
                <w:rFonts w:hint="eastAsia" w:ascii="仿宋_GB2312" w:hAnsi="仿宋_GB2312" w:eastAsia="仿宋_GB2312" w:cs="仿宋_GB2312"/>
                <w:i w:val="0"/>
                <w:iCs w:val="0"/>
                <w:color w:val="000000"/>
                <w:kern w:val="0"/>
                <w:sz w:val="28"/>
                <w:szCs w:val="28"/>
                <w:u w:val="none"/>
                <w:lang w:val="en-US" w:eastAsia="zh-CN" w:bidi="ar-SA"/>
              </w:rPr>
              <w:br w:type="textWrapping"/>
            </w:r>
            <w:r>
              <w:rPr>
                <w:rFonts w:hint="eastAsia" w:ascii="仿宋_GB2312" w:hAnsi="仿宋_GB2312" w:eastAsia="仿宋_GB2312" w:cs="仿宋_GB2312"/>
                <w:i w:val="0"/>
                <w:iCs w:val="0"/>
                <w:color w:val="000000"/>
                <w:kern w:val="0"/>
                <w:sz w:val="28"/>
                <w:szCs w:val="28"/>
                <w:u w:val="none"/>
                <w:lang w:val="en-US" w:eastAsia="zh-CN" w:bidi="ar-SA"/>
              </w:rPr>
              <w:t>13787179798</w:t>
            </w:r>
          </w:p>
        </w:tc>
      </w:tr>
    </w:tbl>
    <w:p>
      <w:pPr>
        <w:bidi w:val="0"/>
        <w:rPr>
          <w:lang w:val="en-US" w:eastAsia="zh-CN"/>
        </w:rPr>
      </w:pPr>
    </w:p>
    <w:p>
      <w:pPr>
        <w:bidi w:val="0"/>
        <w:rPr>
          <w:rFonts w:hint="eastAsia"/>
        </w:rPr>
      </w:pPr>
    </w:p>
    <w:p>
      <w:pPr>
        <w:bidi w:val="0"/>
        <w:ind w:firstLine="632" w:firstLineChars="200"/>
        <w:rPr>
          <w:rFonts w:hint="default"/>
          <w:lang w:val="en-US" w:eastAsia="zh-CN"/>
        </w:rPr>
        <w:sectPr>
          <w:pgSz w:w="16838" w:h="11906" w:orient="landscape"/>
          <w:pgMar w:top="1587" w:right="2098" w:bottom="1474" w:left="1984" w:header="851" w:footer="992" w:gutter="0"/>
          <w:pgNumType w:fmt="decimal"/>
          <w:cols w:space="0" w:num="1"/>
          <w:rtlGutter w:val="0"/>
          <w:docGrid w:type="linesAndChars" w:linePitch="554" w:charSpace="-842"/>
        </w:sectPr>
      </w:pPr>
    </w:p>
    <w:p>
      <w:pPr>
        <w:bidi w:val="0"/>
        <w:ind w:left="0" w:leftChars="0" w:firstLine="0" w:firstLineChars="0"/>
        <w:rPr>
          <w:rFonts w:hint="default"/>
          <w:lang w:val="en-US" w:eastAsia="zh-CN"/>
        </w:rPr>
      </w:pPr>
    </w:p>
    <w:sectPr>
      <w:pgSz w:w="11906" w:h="16838"/>
      <w:pgMar w:top="2098" w:right="1474" w:bottom="1984" w:left="1587" w:header="851" w:footer="992" w:gutter="0"/>
      <w:pgNumType w:fmt="decimal"/>
      <w:cols w:space="0" w:num="1"/>
      <w:rtlGutter w:val="0"/>
      <w:docGrid w:type="linesAndChars" w:linePitch="554"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80" w:lineRule="exact"/>
      <w:ind w:firstLine="360" w:firstLineChars="200"/>
      <w:jc w:val="left"/>
      <w:rPr>
        <w:rFonts w:ascii="Times New Roman" w:hAnsi="Times New Roman" w:eastAsia="仿宋_GB2312" w:cs="Times New Roman"/>
        <w:kern w:val="2"/>
        <w:sz w:val="18"/>
        <w:szCs w:val="24"/>
        <w:lang w:val="en-US" w:eastAsia="zh-CN" w:bidi="ar-SA"/>
      </w:rPr>
    </w:pPr>
    <w:r>
      <w:rPr>
        <w:rFonts w:ascii="Times New Roman" w:hAnsi="Times New Roman" w:eastAsia="仿宋_GB2312"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368300"/>
              <wp:effectExtent l="0" t="0" r="0" b="0"/>
              <wp:wrapNone/>
              <wp:docPr id="2" name="矩形 2"/>
              <wp:cNvGraphicFramePr/>
              <a:graphic xmlns:a="http://schemas.openxmlformats.org/drawingml/2006/main">
                <a:graphicData uri="http://schemas.microsoft.com/office/word/2010/wordprocessingShape">
                  <wps:wsp>
                    <wps:cNvSpPr/>
                    <wps:spPr>
                      <a:xfrm>
                        <a:off x="0" y="0"/>
                        <a:ext cx="622300" cy="368300"/>
                      </a:xfrm>
                      <a:prstGeom prst="rect">
                        <a:avLst/>
                      </a:prstGeom>
                      <a:noFill/>
                      <a:ln w="6350">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29pt;width:49pt;mso-position-horizontal:outside;mso-position-horizontal-relative:margin;mso-wrap-style:none;z-index:251659264;mso-width-relative:page;mso-height-relative:page;" filled="f" stroked="f" coordsize="21600,21600" o:gfxdata="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BRb+9nVAAAAAwEAAA8AAAAAAAAAAQAgAAAAOAAAAGRycy9kb3ducmV2Lnht&#10;bFBLAQIUABQAAAAIAIdO4kCrCt9VrQEAAEUDAAAOAAAAAAAAAAEAIAAAADoBAABkcnMvZTJvRG9j&#10;LnhtbFBLBQYAAAAABgAGAFkBAABZBQAAAAA=&#10;">
              <v:fill on="f" focussize="0,0"/>
              <v:stroke on="f" weight="0.5pt"/>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ind w:firstLine="0" w:firstLineChars="0"/>
                      <w:jc w:val="left"/>
                      <w:textAlignment w:val="auto"/>
                      <w:rPr>
                        <w:rFonts w:hint="eastAsia" w:ascii="宋体" w:eastAsia="宋体" w:cs="宋体"/>
                        <w:kern w:val="2"/>
                        <w:sz w:val="28"/>
                        <w:szCs w:val="28"/>
                        <w:lang w:val="en-US" w:eastAsia="zh-CN" w:bidi="ar-SA"/>
                      </w:rPr>
                    </w:pPr>
                    <w:r>
                      <w:rPr>
                        <w:rFonts w:hint="eastAsia" w:ascii="宋体" w:eastAsia="宋体" w:cs="宋体"/>
                        <w:kern w:val="2"/>
                        <w:sz w:val="28"/>
                        <w:szCs w:val="28"/>
                        <w:lang w:val="en-US" w:eastAsia="zh-CN" w:bidi="ar-SA"/>
                      </w:rPr>
                      <w:t xml:space="preserve">— </w:t>
                    </w:r>
                    <w:r>
                      <w:rPr>
                        <w:rFonts w:hint="eastAsia" w:ascii="宋体" w:eastAsia="宋体" w:cs="宋体"/>
                        <w:kern w:val="2"/>
                        <w:sz w:val="28"/>
                        <w:szCs w:val="28"/>
                        <w:lang w:val="en-US" w:eastAsia="zh-CN" w:bidi="ar-SA"/>
                      </w:rPr>
                      <w:fldChar w:fldCharType="begin"/>
                    </w:r>
                    <w:r>
                      <w:rPr>
                        <w:rFonts w:hint="eastAsia" w:ascii="宋体" w:eastAsia="宋体" w:cs="宋体"/>
                        <w:kern w:val="2"/>
                        <w:sz w:val="28"/>
                        <w:szCs w:val="28"/>
                        <w:lang w:val="en-US" w:eastAsia="zh-CN" w:bidi="ar-SA"/>
                      </w:rPr>
                      <w:instrText xml:space="preserve"> PAGE  \* MERGEFORMAT </w:instrText>
                    </w:r>
                    <w:r>
                      <w:rPr>
                        <w:rFonts w:hint="eastAsia" w:ascii="宋体" w:eastAsia="宋体" w:cs="宋体"/>
                        <w:kern w:val="2"/>
                        <w:sz w:val="28"/>
                        <w:szCs w:val="28"/>
                        <w:lang w:val="en-US" w:eastAsia="zh-CN" w:bidi="ar-SA"/>
                      </w:rPr>
                      <w:fldChar w:fldCharType="separate"/>
                    </w:r>
                    <w:r>
                      <w:rPr>
                        <w:rFonts w:hint="eastAsia" w:ascii="宋体" w:eastAsia="宋体" w:cs="宋体"/>
                        <w:kern w:val="2"/>
                        <w:sz w:val="28"/>
                        <w:szCs w:val="28"/>
                        <w:lang w:val="en-US" w:eastAsia="zh-CN" w:bidi="ar-SA"/>
                      </w:rPr>
                      <w:t>1</w:t>
                    </w:r>
                    <w:r>
                      <w:rPr>
                        <w:rFonts w:hint="eastAsia" w:ascii="宋体" w:eastAsia="宋体" w:cs="宋体"/>
                        <w:kern w:val="2"/>
                        <w:sz w:val="28"/>
                        <w:szCs w:val="28"/>
                        <w:lang w:val="en-US" w:eastAsia="zh-CN" w:bidi="ar-SA"/>
                      </w:rPr>
                      <w:fldChar w:fldCharType="end"/>
                    </w:r>
                    <w:r>
                      <w:rPr>
                        <w:rFonts w:hint="eastAsia" w:ascii="宋体" w:eastAsia="宋体" w:cs="宋体"/>
                        <w:kern w:val="2"/>
                        <w:sz w:val="28"/>
                        <w:szCs w:val="28"/>
                        <w:lang w:val="en-US" w:eastAsia="zh-CN" w:bidi="ar-SA"/>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ind w:firstLine="360" w:firstLineChars="200"/>
      <w:jc w:val="both"/>
      <w:outlineLvl w:val="9"/>
      <w:rPr>
        <w:rFonts w:ascii="Times New Roman" w:hAnsi="Times New Roman" w:eastAsia="仿宋_GB2312"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AA24B"/>
    <w:multiLevelType w:val="singleLevel"/>
    <w:tmpl w:val="EFFAA24B"/>
    <w:lvl w:ilvl="0" w:tentative="0">
      <w:start w:val="1"/>
      <w:numFmt w:val="decimal"/>
      <w:pStyle w:val="5"/>
      <w:lvlText w:val="%1."/>
      <w:lvlJc w:val="left"/>
      <w:pPr>
        <w:ind w:left="425" w:hanging="425"/>
      </w:pPr>
      <w:rPr>
        <w:rFonts w:hint="default"/>
      </w:rPr>
    </w:lvl>
  </w:abstractNum>
  <w:abstractNum w:abstractNumId="1">
    <w:nsid w:val="FDEC8544"/>
    <w:multiLevelType w:val="singleLevel"/>
    <w:tmpl w:val="FDEC8544"/>
    <w:lvl w:ilvl="0" w:tentative="0">
      <w:start w:val="1"/>
      <w:numFmt w:val="chineseCounting"/>
      <w:pStyle w:val="4"/>
      <w:suff w:val="nothing"/>
      <w:lvlText w:val="（%1）"/>
      <w:lvlJc w:val="left"/>
      <w:pPr>
        <w:ind w:left="0" w:firstLine="420"/>
      </w:pPr>
      <w:rPr>
        <w:rFonts w:hint="eastAsia"/>
      </w:rPr>
    </w:lvl>
  </w:abstractNum>
  <w:abstractNum w:abstractNumId="2">
    <w:nsid w:val="7FF40900"/>
    <w:multiLevelType w:val="singleLevel"/>
    <w:tmpl w:val="7FF40900"/>
    <w:lvl w:ilvl="0" w:tentative="0">
      <w:start w:val="1"/>
      <w:numFmt w:val="chineseCounting"/>
      <w:pStyle w:val="3"/>
      <w:suff w:val="nothing"/>
      <w:lvlText w:val="%1、"/>
      <w:lvlJc w:val="left"/>
      <w:pPr>
        <w:ind w:left="0" w:firstLine="397"/>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attachedTemplate r:id="rId1"/>
  <w:documentProtection w:enforcement="0"/>
  <w:defaultTabStop w:val="420"/>
  <w:drawingGridHorizontalSpacing w:val="158"/>
  <w:drawingGridVerticalSpacing w:val="277"/>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50F6E"/>
    <w:rsid w:val="1F2F8661"/>
    <w:rsid w:val="20D50F6E"/>
    <w:rsid w:val="23857844"/>
    <w:rsid w:val="30730627"/>
    <w:rsid w:val="51FEDEFE"/>
    <w:rsid w:val="53F9B615"/>
    <w:rsid w:val="57F9D3E6"/>
    <w:rsid w:val="5F57F742"/>
    <w:rsid w:val="625E7B88"/>
    <w:rsid w:val="62D11F6A"/>
    <w:rsid w:val="67C9B281"/>
    <w:rsid w:val="6DFF3638"/>
    <w:rsid w:val="6DFFB2C0"/>
    <w:rsid w:val="7BFB3557"/>
    <w:rsid w:val="7E7ABF5D"/>
    <w:rsid w:val="7FDAED7E"/>
    <w:rsid w:val="BF5F4957"/>
    <w:rsid w:val="BFFFE1E2"/>
    <w:rsid w:val="F7BDEBD4"/>
    <w:rsid w:val="FF7BCB3A"/>
    <w:rsid w:val="FF9F9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numPr>
        <w:ilvl w:val="0"/>
        <w:numId w:val="1"/>
      </w:numPr>
      <w:spacing w:beforeLines="0" w:beforeAutospacing="0" w:afterLines="0" w:afterAutospacing="0" w:line="580" w:lineRule="exact"/>
      <w:outlineLvl w:val="1"/>
    </w:pPr>
    <w:rPr>
      <w:rFonts w:eastAsia="方正黑体_GBK"/>
    </w:rPr>
  </w:style>
  <w:style w:type="paragraph" w:styleId="4">
    <w:name w:val="heading 3"/>
    <w:basedOn w:val="1"/>
    <w:next w:val="1"/>
    <w:link w:val="13"/>
    <w:unhideWhenUsed/>
    <w:qFormat/>
    <w:uiPriority w:val="0"/>
    <w:pPr>
      <w:keepNext/>
      <w:keepLines/>
      <w:numPr>
        <w:ilvl w:val="0"/>
        <w:numId w:val="2"/>
      </w:numPr>
      <w:spacing w:beforeLines="0" w:beforeAutospacing="0" w:afterLines="0" w:afterAutospacing="0" w:line="580" w:lineRule="exact"/>
      <w:outlineLvl w:val="2"/>
    </w:pPr>
    <w:rPr>
      <w:rFonts w:eastAsia="方正楷体_GBK"/>
    </w:rPr>
  </w:style>
  <w:style w:type="paragraph" w:styleId="5">
    <w:name w:val="heading 4"/>
    <w:basedOn w:val="1"/>
    <w:next w:val="1"/>
    <w:link w:val="14"/>
    <w:unhideWhenUsed/>
    <w:qFormat/>
    <w:uiPriority w:val="0"/>
    <w:pPr>
      <w:keepNext/>
      <w:keepLines/>
      <w:numPr>
        <w:ilvl w:val="0"/>
        <w:numId w:val="3"/>
      </w:numPr>
      <w:spacing w:beforeLines="0" w:beforeAutospacing="0" w:afterLines="0" w:afterAutospacing="0" w:line="580" w:lineRule="exact"/>
      <w:ind w:left="0"/>
      <w:outlineLvl w:val="3"/>
    </w:pPr>
    <w:rPr>
      <w:b/>
    </w:rPr>
  </w:style>
  <w:style w:type="paragraph" w:styleId="6">
    <w:name w:val="heading 5"/>
    <w:basedOn w:val="1"/>
    <w:next w:val="1"/>
    <w:unhideWhenUsed/>
    <w:qFormat/>
    <w:uiPriority w:val="0"/>
    <w:pPr>
      <w:keepNext/>
      <w:keepLines/>
      <w:spacing w:beforeLines="0" w:beforeAutospacing="0" w:afterLines="0" w:afterAutospacing="0" w:line="580" w:lineRule="exact"/>
      <w:ind w:firstLine="0" w:firstLineChars="0"/>
      <w:jc w:val="center"/>
      <w:outlineLvl w:val="4"/>
    </w:pPr>
    <w:rPr>
      <w:rFonts w:eastAsia="方正楷体_GBK"/>
    </w:rPr>
  </w:style>
  <w:style w:type="paragraph" w:styleId="7">
    <w:name w:val="heading 6"/>
    <w:basedOn w:val="1"/>
    <w:next w:val="1"/>
    <w:unhideWhenUsed/>
    <w:qFormat/>
    <w:uiPriority w:val="0"/>
    <w:pPr>
      <w:keepNext/>
      <w:keepLines/>
      <w:spacing w:beforeLines="0" w:beforeAutospacing="0" w:afterLines="0" w:afterAutospacing="0" w:line="580" w:lineRule="exact"/>
      <w:ind w:right="1264" w:rightChars="400" w:firstLine="0" w:firstLineChars="0"/>
      <w:jc w:val="right"/>
      <w:outlineLvl w:val="5"/>
    </w:p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3 Char"/>
    <w:link w:val="4"/>
    <w:qFormat/>
    <w:uiPriority w:val="0"/>
    <w:rPr>
      <w:rFonts w:eastAsia="方正楷体_GBK"/>
    </w:rPr>
  </w:style>
  <w:style w:type="character" w:customStyle="1" w:styleId="14">
    <w:name w:val="标题 4 Char"/>
    <w:link w:val="5"/>
    <w:qFormat/>
    <w:uiPriority w:val="0"/>
    <w:rPr>
      <w:rFonts w:eastAsia="仿宋_GB2312"/>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home\xjkp\C:\Users\86422\AppData\Roaming\kingsoft\office6\templates\wps\zh_CN\&#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公文.dotx</Template>
  <Pages>27</Pages>
  <Words>1534</Words>
  <Characters>1558</Characters>
  <Lines>0</Lines>
  <Paragraphs>0</Paragraphs>
  <TotalTime>6</TotalTime>
  <ScaleCrop>false</ScaleCrop>
  <LinksUpToDate>false</LinksUpToDate>
  <CharactersWithSpaces>1558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2025-08-25T00:55:00Z</dcterms:created>
  <dc:creator>缪由之</dc:creator>
  <cp:lastModifiedBy>周俊</cp:lastModifiedBy>
  <dcterms:modified xsi:type="dcterms:W3CDTF">2025-08-26T10:00:16Z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7A5F148E1A0E47908D07247D7BB0E582_13</vt:lpwstr>
  </property>
  <property fmtid="{D5CDD505-2E9C-101B-9397-08002B2CF9AE}" pid="4" name="KSOTemplateDocerSaveRecord">
    <vt:lpwstr>eyJoZGlkIjoiYjFlMTliYzRhMDZlZWYxMTBjZTI1OTQ2MjM5MmUxODkiLCJ1c2VySWQiOiIxNDAyOTQ3MDk3In0=</vt:lpwstr>
  </property>
</Properties>
</file>